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176D18" w14:textId="5360E5D8" w:rsidR="009602CF" w:rsidRDefault="009602CF" w:rsidP="009602CF">
      <w:pPr>
        <w:pStyle w:val="Default"/>
        <w:rPr>
          <w:color w:val="aut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9602CF" w:rsidRPr="009602CF" w14:paraId="36F652FB" w14:textId="77777777" w:rsidTr="009602CF">
        <w:tc>
          <w:tcPr>
            <w:tcW w:w="4675" w:type="dxa"/>
          </w:tcPr>
          <w:p w14:paraId="2CE137CB" w14:textId="538262F8" w:rsidR="009602CF" w:rsidRDefault="009602CF" w:rsidP="009602CF">
            <w:pPr>
              <w:pStyle w:val="Default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9602CF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WATER RATES </w:t>
            </w:r>
            <w:r w:rsidRPr="009602CF">
              <w:rPr>
                <w:rFonts w:ascii="Calibri" w:hAnsi="Calibri" w:cs="Calibri"/>
                <w:color w:val="auto"/>
                <w:sz w:val="20"/>
                <w:szCs w:val="20"/>
              </w:rPr>
              <w:t xml:space="preserve">.......................................... 1 </w:t>
            </w:r>
          </w:p>
          <w:p w14:paraId="71A8B2D8" w14:textId="5586BBD8" w:rsidR="009602CF" w:rsidRDefault="009602CF" w:rsidP="009602CF">
            <w:pPr>
              <w:pStyle w:val="Default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 xml:space="preserve">Water Availability Charge ......................... 1 </w:t>
            </w:r>
          </w:p>
          <w:p w14:paraId="6FE1FC01" w14:textId="5E39C7ED" w:rsidR="009602CF" w:rsidRDefault="009602CF" w:rsidP="009602CF">
            <w:pPr>
              <w:pStyle w:val="Default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>Water Consumption Rates ........................ 1</w:t>
            </w:r>
            <w:r w:rsidR="00C91664">
              <w:rPr>
                <w:rFonts w:ascii="Calibri" w:hAnsi="Calibri" w:cs="Calibri"/>
                <w:color w:val="auto"/>
                <w:sz w:val="20"/>
                <w:szCs w:val="20"/>
              </w:rPr>
              <w:t>-2</w:t>
            </w:r>
          </w:p>
          <w:p w14:paraId="4B8DB629" w14:textId="77777777" w:rsidR="009602CF" w:rsidRDefault="009602CF" w:rsidP="009602CF">
            <w:pPr>
              <w:pStyle w:val="Default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 xml:space="preserve">Water Rate Adjustments .......................... 2 </w:t>
            </w:r>
          </w:p>
          <w:p w14:paraId="16923038" w14:textId="77777777" w:rsidR="009602CF" w:rsidRDefault="009602CF" w:rsidP="009602CF">
            <w:pPr>
              <w:pStyle w:val="Default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 xml:space="preserve">Utility Miscellaneous Charges ................... 2 </w:t>
            </w:r>
          </w:p>
          <w:p w14:paraId="01508859" w14:textId="77777777" w:rsidR="009602CF" w:rsidRDefault="009602CF" w:rsidP="009602CF">
            <w:pPr>
              <w:pStyle w:val="Default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 xml:space="preserve">Demand Charges ....................................... 2 </w:t>
            </w:r>
          </w:p>
          <w:p w14:paraId="098B740F" w14:textId="77777777" w:rsidR="009602CF" w:rsidRDefault="009602CF" w:rsidP="009602CF">
            <w:pPr>
              <w:pStyle w:val="Default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 xml:space="preserve">Leakage Rate Reduction ........................... 2 </w:t>
            </w:r>
          </w:p>
          <w:p w14:paraId="39D5723B" w14:textId="45F01FFE" w:rsidR="009602CF" w:rsidRPr="009602CF" w:rsidRDefault="009602CF" w:rsidP="00D2465E">
            <w:pPr>
              <w:pStyle w:val="Default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4675" w:type="dxa"/>
          </w:tcPr>
          <w:p w14:paraId="10A69AB9" w14:textId="77777777" w:rsidR="009602CF" w:rsidRDefault="009602CF" w:rsidP="009602CF">
            <w:pPr>
              <w:pStyle w:val="Default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STORM WATER RATES </w:t>
            </w:r>
            <w:r>
              <w:rPr>
                <w:rFonts w:ascii="Calibri" w:hAnsi="Calibri" w:cs="Calibri"/>
                <w:color w:val="auto"/>
                <w:sz w:val="20"/>
                <w:szCs w:val="20"/>
              </w:rPr>
              <w:t xml:space="preserve">....................................... 3 </w:t>
            </w:r>
          </w:p>
          <w:p w14:paraId="6F182F7F" w14:textId="77777777" w:rsidR="009602CF" w:rsidRDefault="009602CF" w:rsidP="009602CF">
            <w:pPr>
              <w:pStyle w:val="Default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SEWER RATES </w:t>
            </w:r>
            <w:r>
              <w:rPr>
                <w:rFonts w:ascii="Calibri" w:hAnsi="Calibri" w:cs="Calibri"/>
                <w:color w:val="auto"/>
                <w:sz w:val="20"/>
                <w:szCs w:val="20"/>
              </w:rPr>
              <w:t xml:space="preserve">..................................................... 3 </w:t>
            </w:r>
          </w:p>
          <w:p w14:paraId="0DE3005E" w14:textId="77777777" w:rsidR="009602CF" w:rsidRDefault="009602CF" w:rsidP="009602CF">
            <w:pPr>
              <w:pStyle w:val="Default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 xml:space="preserve">Sewer Base Rates ...................................... 3 </w:t>
            </w:r>
          </w:p>
          <w:p w14:paraId="6618CA98" w14:textId="0A8972B1" w:rsidR="004E1F89" w:rsidRDefault="004E1F89" w:rsidP="009602CF">
            <w:pPr>
              <w:pStyle w:val="Default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>Sewage Treatment Volumetrics……………….4</w:t>
            </w:r>
          </w:p>
          <w:p w14:paraId="5891D8E9" w14:textId="031EE0CB" w:rsidR="009602CF" w:rsidRDefault="009602CF" w:rsidP="009602CF">
            <w:r>
              <w:rPr>
                <w:rFonts w:ascii="Calibri" w:hAnsi="Calibri" w:cs="Calibri"/>
                <w:sz w:val="20"/>
                <w:szCs w:val="20"/>
              </w:rPr>
              <w:t xml:space="preserve">Sewer Rate Adjustments ........................... </w:t>
            </w:r>
            <w:r w:rsidR="007C2FDA">
              <w:rPr>
                <w:rFonts w:ascii="Calibri" w:hAnsi="Calibri" w:cs="Calibri"/>
                <w:sz w:val="20"/>
                <w:szCs w:val="20"/>
              </w:rPr>
              <w:t>4</w:t>
            </w:r>
          </w:p>
          <w:p w14:paraId="4C8C21B7" w14:textId="77777777" w:rsidR="009602CF" w:rsidRPr="009602CF" w:rsidRDefault="009602CF" w:rsidP="00D2465E">
            <w:pPr>
              <w:pStyle w:val="Default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</w:tr>
    </w:tbl>
    <w:p w14:paraId="240954BF" w14:textId="79101149" w:rsidR="009602CF" w:rsidRDefault="009602CF" w:rsidP="009602CF">
      <w:pPr>
        <w:rPr>
          <w:rFonts w:ascii="Calibri" w:hAnsi="Calibri" w:cs="Calibri"/>
          <w:color w:val="4040FF"/>
          <w:kern w:val="0"/>
        </w:rPr>
      </w:pPr>
      <w:r w:rsidRPr="009602CF">
        <w:rPr>
          <w:rFonts w:ascii="Calibri" w:hAnsi="Calibri" w:cs="Calibri"/>
          <w:color w:val="000000"/>
          <w:kern w:val="0"/>
          <w:sz w:val="24"/>
          <w:szCs w:val="24"/>
        </w:rPr>
        <w:t xml:space="preserve"> </w:t>
      </w:r>
      <w:r w:rsidRPr="009602CF">
        <w:rPr>
          <w:rFonts w:ascii="Calibri" w:hAnsi="Calibri" w:cs="Calibri"/>
          <w:b/>
          <w:bCs/>
          <w:color w:val="000000"/>
          <w:kern w:val="0"/>
          <w:sz w:val="23"/>
          <w:szCs w:val="23"/>
        </w:rPr>
        <w:t>Water Availability Charge</w:t>
      </w:r>
      <w:r>
        <w:rPr>
          <w:rFonts w:ascii="Calibri" w:hAnsi="Calibri" w:cs="Calibri"/>
          <w:b/>
          <w:bCs/>
          <w:color w:val="000000"/>
          <w:kern w:val="0"/>
          <w:sz w:val="23"/>
          <w:szCs w:val="23"/>
        </w:rPr>
        <w:tab/>
      </w:r>
      <w:r>
        <w:rPr>
          <w:rFonts w:ascii="Calibri" w:hAnsi="Calibri" w:cs="Calibri"/>
          <w:b/>
          <w:bCs/>
          <w:color w:val="000000"/>
          <w:kern w:val="0"/>
          <w:sz w:val="23"/>
          <w:szCs w:val="23"/>
        </w:rPr>
        <w:tab/>
      </w:r>
      <w:r>
        <w:rPr>
          <w:rFonts w:ascii="Calibri" w:hAnsi="Calibri" w:cs="Calibri"/>
          <w:b/>
          <w:bCs/>
          <w:color w:val="000000"/>
          <w:kern w:val="0"/>
          <w:sz w:val="23"/>
          <w:szCs w:val="23"/>
        </w:rPr>
        <w:tab/>
      </w:r>
      <w:r>
        <w:rPr>
          <w:rFonts w:ascii="Calibri" w:hAnsi="Calibri" w:cs="Calibri"/>
          <w:b/>
          <w:bCs/>
          <w:color w:val="000000"/>
          <w:kern w:val="0"/>
          <w:sz w:val="23"/>
          <w:szCs w:val="23"/>
        </w:rPr>
        <w:tab/>
      </w:r>
      <w:r>
        <w:rPr>
          <w:rFonts w:ascii="Calibri" w:hAnsi="Calibri" w:cs="Calibri"/>
          <w:b/>
          <w:bCs/>
          <w:color w:val="000000"/>
          <w:kern w:val="0"/>
          <w:sz w:val="23"/>
          <w:szCs w:val="23"/>
        </w:rPr>
        <w:tab/>
      </w:r>
      <w:r w:rsidRPr="009602CF">
        <w:rPr>
          <w:rFonts w:ascii="Calibri" w:hAnsi="Calibri" w:cs="Calibri"/>
          <w:b/>
          <w:bCs/>
          <w:color w:val="000000"/>
          <w:kern w:val="0"/>
          <w:sz w:val="23"/>
          <w:szCs w:val="23"/>
        </w:rPr>
        <w:t xml:space="preserve"> </w:t>
      </w:r>
      <w:r w:rsidRPr="009602CF">
        <w:rPr>
          <w:rFonts w:ascii="Calibri" w:hAnsi="Calibri" w:cs="Calibri"/>
          <w:color w:val="4040FF"/>
          <w:kern w:val="0"/>
        </w:rPr>
        <w:t>BLMC Chapter 13.04.100</w:t>
      </w:r>
    </w:p>
    <w:p w14:paraId="7C8C1482" w14:textId="0AB2975E" w:rsidR="00551CC0" w:rsidRPr="00C10A02" w:rsidRDefault="00551CC0" w:rsidP="009602CF">
      <w:pPr>
        <w:rPr>
          <w:b/>
          <w:bCs/>
          <w:color w:val="4472C4" w:themeColor="accent1"/>
          <w:sz w:val="28"/>
          <w:szCs w:val="28"/>
        </w:rPr>
      </w:pPr>
      <w:r w:rsidRPr="00C10A02">
        <w:rPr>
          <w:rFonts w:ascii="Calibri" w:hAnsi="Calibri" w:cs="Calibri"/>
          <w:b/>
          <w:bCs/>
          <w:color w:val="4472C4" w:themeColor="accent1"/>
          <w:kern w:val="0"/>
          <w:sz w:val="28"/>
          <w:szCs w:val="28"/>
        </w:rPr>
        <w:t>Water Availability Charge*(Base Rate/Month)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9602CF" w14:paraId="7C6041A7" w14:textId="77777777" w:rsidTr="009602CF">
        <w:tc>
          <w:tcPr>
            <w:tcW w:w="3116" w:type="dxa"/>
          </w:tcPr>
          <w:p w14:paraId="15DCC03F" w14:textId="700CF977" w:rsidR="009602CF" w:rsidRPr="00551CC0" w:rsidRDefault="00551CC0" w:rsidP="00551CC0">
            <w:pPr>
              <w:jc w:val="center"/>
            </w:pPr>
            <w:r w:rsidRPr="00551CC0">
              <w:t>Meter Size</w:t>
            </w:r>
          </w:p>
        </w:tc>
        <w:tc>
          <w:tcPr>
            <w:tcW w:w="3117" w:type="dxa"/>
          </w:tcPr>
          <w:p w14:paraId="50C7FB24" w14:textId="46F218EB" w:rsidR="009602CF" w:rsidRPr="00551CC0" w:rsidRDefault="00551CC0" w:rsidP="00551CC0">
            <w:pPr>
              <w:jc w:val="center"/>
            </w:pPr>
            <w:r w:rsidRPr="00551CC0">
              <w:t>Inside City limits</w:t>
            </w:r>
          </w:p>
        </w:tc>
        <w:tc>
          <w:tcPr>
            <w:tcW w:w="3117" w:type="dxa"/>
          </w:tcPr>
          <w:p w14:paraId="22FA6E25" w14:textId="334214D9" w:rsidR="009602CF" w:rsidRPr="00551CC0" w:rsidRDefault="00551CC0" w:rsidP="00551CC0">
            <w:pPr>
              <w:jc w:val="center"/>
              <w:rPr>
                <w:b/>
                <w:bCs/>
              </w:rPr>
            </w:pPr>
            <w:r w:rsidRPr="00551CC0">
              <w:t>Outside City Limits</w:t>
            </w:r>
          </w:p>
        </w:tc>
      </w:tr>
      <w:tr w:rsidR="009602CF" w14:paraId="61D91448" w14:textId="77777777" w:rsidTr="009602CF">
        <w:tc>
          <w:tcPr>
            <w:tcW w:w="3116" w:type="dxa"/>
          </w:tcPr>
          <w:p w14:paraId="13C39710" w14:textId="3738D029" w:rsidR="009602CF" w:rsidRDefault="00551CC0" w:rsidP="00551CC0">
            <w:pPr>
              <w:jc w:val="center"/>
            </w:pPr>
            <w:r>
              <w:t>5/8” – 3/4”</w:t>
            </w:r>
          </w:p>
        </w:tc>
        <w:tc>
          <w:tcPr>
            <w:tcW w:w="3117" w:type="dxa"/>
          </w:tcPr>
          <w:p w14:paraId="5186E9CC" w14:textId="62646D0E" w:rsidR="009602CF" w:rsidRDefault="00551CC0" w:rsidP="00551CC0">
            <w:pPr>
              <w:jc w:val="center"/>
            </w:pPr>
            <w:r>
              <w:t>$21.85</w:t>
            </w:r>
          </w:p>
        </w:tc>
        <w:tc>
          <w:tcPr>
            <w:tcW w:w="3117" w:type="dxa"/>
          </w:tcPr>
          <w:p w14:paraId="3FC41EA9" w14:textId="10B4359E" w:rsidR="009602CF" w:rsidRDefault="00551CC0" w:rsidP="00551CC0">
            <w:pPr>
              <w:jc w:val="center"/>
            </w:pPr>
            <w:r>
              <w:t>$33.73</w:t>
            </w:r>
          </w:p>
        </w:tc>
      </w:tr>
      <w:tr w:rsidR="009602CF" w14:paraId="5B95EDFF" w14:textId="77777777" w:rsidTr="009602CF">
        <w:tc>
          <w:tcPr>
            <w:tcW w:w="3116" w:type="dxa"/>
          </w:tcPr>
          <w:p w14:paraId="5FEBF4A8" w14:textId="2129B149" w:rsidR="009602CF" w:rsidRDefault="00551CC0" w:rsidP="00551CC0">
            <w:pPr>
              <w:jc w:val="center"/>
            </w:pPr>
            <w:r>
              <w:t>1” with Fire Sprinkler System</w:t>
            </w:r>
          </w:p>
        </w:tc>
        <w:tc>
          <w:tcPr>
            <w:tcW w:w="3117" w:type="dxa"/>
          </w:tcPr>
          <w:p w14:paraId="7A15BD73" w14:textId="07E03132" w:rsidR="00551CC0" w:rsidRDefault="00551CC0" w:rsidP="00551CC0">
            <w:pPr>
              <w:jc w:val="center"/>
            </w:pPr>
            <w:r>
              <w:t>$21.85</w:t>
            </w:r>
          </w:p>
        </w:tc>
        <w:tc>
          <w:tcPr>
            <w:tcW w:w="3117" w:type="dxa"/>
          </w:tcPr>
          <w:p w14:paraId="2F11DE9D" w14:textId="3A60E9E9" w:rsidR="009602CF" w:rsidRDefault="00551CC0" w:rsidP="00551CC0">
            <w:pPr>
              <w:jc w:val="center"/>
            </w:pPr>
            <w:r>
              <w:t>n/a</w:t>
            </w:r>
          </w:p>
        </w:tc>
      </w:tr>
      <w:tr w:rsidR="009602CF" w14:paraId="75FCBD10" w14:textId="77777777" w:rsidTr="009602CF">
        <w:tc>
          <w:tcPr>
            <w:tcW w:w="3116" w:type="dxa"/>
          </w:tcPr>
          <w:p w14:paraId="21D83BFC" w14:textId="4F37C28B" w:rsidR="009602CF" w:rsidRDefault="00551CC0" w:rsidP="00551CC0">
            <w:pPr>
              <w:jc w:val="center"/>
            </w:pPr>
            <w:r>
              <w:t>1” w/out Fire Sprinkler System</w:t>
            </w:r>
          </w:p>
        </w:tc>
        <w:tc>
          <w:tcPr>
            <w:tcW w:w="3117" w:type="dxa"/>
          </w:tcPr>
          <w:p w14:paraId="7F81FF0C" w14:textId="6893CE2F" w:rsidR="009602CF" w:rsidRDefault="00551CC0" w:rsidP="00551CC0">
            <w:pPr>
              <w:jc w:val="center"/>
            </w:pPr>
            <w:r>
              <w:t>$43.35</w:t>
            </w:r>
          </w:p>
        </w:tc>
        <w:tc>
          <w:tcPr>
            <w:tcW w:w="3117" w:type="dxa"/>
          </w:tcPr>
          <w:p w14:paraId="39225AA8" w14:textId="0110BEBA" w:rsidR="009602CF" w:rsidRDefault="00551CC0" w:rsidP="00551CC0">
            <w:pPr>
              <w:jc w:val="center"/>
            </w:pPr>
            <w:r>
              <w:t>$56.15</w:t>
            </w:r>
          </w:p>
        </w:tc>
      </w:tr>
      <w:tr w:rsidR="009602CF" w14:paraId="6527C625" w14:textId="77777777" w:rsidTr="009602CF">
        <w:tc>
          <w:tcPr>
            <w:tcW w:w="3116" w:type="dxa"/>
          </w:tcPr>
          <w:p w14:paraId="7BEE0D70" w14:textId="59DDDF09" w:rsidR="009602CF" w:rsidRDefault="00551CC0" w:rsidP="00551CC0">
            <w:pPr>
              <w:jc w:val="center"/>
            </w:pPr>
            <w:r>
              <w:t>1” Commercial</w:t>
            </w:r>
          </w:p>
        </w:tc>
        <w:tc>
          <w:tcPr>
            <w:tcW w:w="3117" w:type="dxa"/>
          </w:tcPr>
          <w:p w14:paraId="768680FD" w14:textId="546D3FCD" w:rsidR="00551CC0" w:rsidRDefault="00551CC0" w:rsidP="00551CC0">
            <w:pPr>
              <w:jc w:val="center"/>
            </w:pPr>
            <w:r>
              <w:t>$43.35</w:t>
            </w:r>
          </w:p>
        </w:tc>
        <w:tc>
          <w:tcPr>
            <w:tcW w:w="3117" w:type="dxa"/>
          </w:tcPr>
          <w:p w14:paraId="210F5B21" w14:textId="23A223EE" w:rsidR="009602CF" w:rsidRDefault="00551CC0" w:rsidP="00551CC0">
            <w:pPr>
              <w:jc w:val="center"/>
            </w:pPr>
            <w:r>
              <w:t>$56.15</w:t>
            </w:r>
          </w:p>
        </w:tc>
      </w:tr>
      <w:tr w:rsidR="009602CF" w14:paraId="3E010FEF" w14:textId="77777777" w:rsidTr="009602CF">
        <w:tc>
          <w:tcPr>
            <w:tcW w:w="3116" w:type="dxa"/>
          </w:tcPr>
          <w:p w14:paraId="41E96C62" w14:textId="36A4EDA4" w:rsidR="009602CF" w:rsidRDefault="00551CC0" w:rsidP="00551CC0">
            <w:pPr>
              <w:jc w:val="center"/>
            </w:pPr>
            <w:r>
              <w:t>1 ¼”</w:t>
            </w:r>
          </w:p>
        </w:tc>
        <w:tc>
          <w:tcPr>
            <w:tcW w:w="3117" w:type="dxa"/>
          </w:tcPr>
          <w:p w14:paraId="32EFB781" w14:textId="00D3EC70" w:rsidR="009602CF" w:rsidRDefault="00551CC0" w:rsidP="00551CC0">
            <w:pPr>
              <w:jc w:val="center"/>
            </w:pPr>
            <w:r>
              <w:t>$86.09</w:t>
            </w:r>
          </w:p>
        </w:tc>
        <w:tc>
          <w:tcPr>
            <w:tcW w:w="3117" w:type="dxa"/>
          </w:tcPr>
          <w:p w14:paraId="315FA9C7" w14:textId="28396BA0" w:rsidR="009602CF" w:rsidRDefault="00551CC0" w:rsidP="00551CC0">
            <w:pPr>
              <w:jc w:val="center"/>
            </w:pPr>
            <w:r>
              <w:t>$111.90</w:t>
            </w:r>
          </w:p>
        </w:tc>
      </w:tr>
      <w:tr w:rsidR="009602CF" w14:paraId="284A838E" w14:textId="77777777" w:rsidTr="009602CF">
        <w:tc>
          <w:tcPr>
            <w:tcW w:w="3116" w:type="dxa"/>
          </w:tcPr>
          <w:p w14:paraId="49CD1918" w14:textId="067FFD06" w:rsidR="009602CF" w:rsidRDefault="00551CC0" w:rsidP="00551CC0">
            <w:pPr>
              <w:jc w:val="center"/>
            </w:pPr>
            <w:r>
              <w:t>1 ½”</w:t>
            </w:r>
          </w:p>
        </w:tc>
        <w:tc>
          <w:tcPr>
            <w:tcW w:w="3117" w:type="dxa"/>
          </w:tcPr>
          <w:p w14:paraId="5C487C51" w14:textId="2D8D920A" w:rsidR="00551CC0" w:rsidRDefault="00551CC0" w:rsidP="00551CC0">
            <w:pPr>
              <w:jc w:val="center"/>
            </w:pPr>
            <w:r>
              <w:t>$86.09</w:t>
            </w:r>
          </w:p>
        </w:tc>
        <w:tc>
          <w:tcPr>
            <w:tcW w:w="3117" w:type="dxa"/>
          </w:tcPr>
          <w:p w14:paraId="63D61E05" w14:textId="7B061C1F" w:rsidR="009602CF" w:rsidRDefault="00551CC0" w:rsidP="00551CC0">
            <w:pPr>
              <w:jc w:val="center"/>
            </w:pPr>
            <w:r>
              <w:t>$111.90</w:t>
            </w:r>
          </w:p>
        </w:tc>
      </w:tr>
      <w:tr w:rsidR="009602CF" w14:paraId="602EDE0A" w14:textId="77777777" w:rsidTr="009602CF">
        <w:tc>
          <w:tcPr>
            <w:tcW w:w="3116" w:type="dxa"/>
          </w:tcPr>
          <w:p w14:paraId="4DA59AFA" w14:textId="4F72058D" w:rsidR="009602CF" w:rsidRDefault="00551CC0" w:rsidP="00551CC0">
            <w:pPr>
              <w:jc w:val="center"/>
            </w:pPr>
            <w:r>
              <w:t>2”</w:t>
            </w:r>
          </w:p>
        </w:tc>
        <w:tc>
          <w:tcPr>
            <w:tcW w:w="3117" w:type="dxa"/>
          </w:tcPr>
          <w:p w14:paraId="65375218" w14:textId="2A974015" w:rsidR="009602CF" w:rsidRDefault="00551CC0" w:rsidP="00551CC0">
            <w:pPr>
              <w:jc w:val="center"/>
            </w:pPr>
            <w:r>
              <w:t>$137.78</w:t>
            </w:r>
          </w:p>
        </w:tc>
        <w:tc>
          <w:tcPr>
            <w:tcW w:w="3117" w:type="dxa"/>
          </w:tcPr>
          <w:p w14:paraId="1655446E" w14:textId="10A2D7CF" w:rsidR="009602CF" w:rsidRDefault="005401F5" w:rsidP="00551CC0">
            <w:pPr>
              <w:jc w:val="center"/>
            </w:pPr>
            <w:r>
              <w:t>$178.92</w:t>
            </w:r>
          </w:p>
        </w:tc>
      </w:tr>
      <w:tr w:rsidR="009602CF" w14:paraId="4CE18608" w14:textId="77777777" w:rsidTr="009602CF">
        <w:tc>
          <w:tcPr>
            <w:tcW w:w="3116" w:type="dxa"/>
          </w:tcPr>
          <w:p w14:paraId="01091AAD" w14:textId="489934B5" w:rsidR="009602CF" w:rsidRDefault="00551CC0" w:rsidP="00551CC0">
            <w:pPr>
              <w:jc w:val="center"/>
            </w:pPr>
            <w:r>
              <w:t>3”</w:t>
            </w:r>
          </w:p>
        </w:tc>
        <w:tc>
          <w:tcPr>
            <w:tcW w:w="3117" w:type="dxa"/>
          </w:tcPr>
          <w:p w14:paraId="555107AF" w14:textId="66D78A27" w:rsidR="009602CF" w:rsidRDefault="00551CC0" w:rsidP="00551CC0">
            <w:pPr>
              <w:jc w:val="center"/>
            </w:pPr>
            <w:r>
              <w:t>$258.19</w:t>
            </w:r>
          </w:p>
        </w:tc>
        <w:tc>
          <w:tcPr>
            <w:tcW w:w="3117" w:type="dxa"/>
          </w:tcPr>
          <w:p w14:paraId="20A09E31" w14:textId="27C05926" w:rsidR="009602CF" w:rsidRDefault="005401F5" w:rsidP="00551CC0">
            <w:pPr>
              <w:jc w:val="center"/>
            </w:pPr>
            <w:r>
              <w:t>$335.60</w:t>
            </w:r>
          </w:p>
        </w:tc>
      </w:tr>
      <w:tr w:rsidR="009602CF" w14:paraId="395E7AE1" w14:textId="77777777" w:rsidTr="009602CF">
        <w:tc>
          <w:tcPr>
            <w:tcW w:w="3116" w:type="dxa"/>
          </w:tcPr>
          <w:p w14:paraId="02DFBEA5" w14:textId="32D2C5CD" w:rsidR="009602CF" w:rsidRDefault="00551CC0" w:rsidP="00551CC0">
            <w:pPr>
              <w:jc w:val="center"/>
            </w:pPr>
            <w:r>
              <w:t>4”</w:t>
            </w:r>
          </w:p>
        </w:tc>
        <w:tc>
          <w:tcPr>
            <w:tcW w:w="3117" w:type="dxa"/>
          </w:tcPr>
          <w:p w14:paraId="5CA17C55" w14:textId="0F220ECD" w:rsidR="009602CF" w:rsidRDefault="00551CC0" w:rsidP="00551CC0">
            <w:pPr>
              <w:jc w:val="center"/>
            </w:pPr>
            <w:r>
              <w:t>$430.04</w:t>
            </w:r>
          </w:p>
        </w:tc>
        <w:tc>
          <w:tcPr>
            <w:tcW w:w="3117" w:type="dxa"/>
          </w:tcPr>
          <w:p w14:paraId="3A2BB228" w14:textId="0C6FCBDE" w:rsidR="009602CF" w:rsidRDefault="005401F5" w:rsidP="00551CC0">
            <w:pPr>
              <w:jc w:val="center"/>
            </w:pPr>
            <w:r>
              <w:t>$559.40</w:t>
            </w:r>
          </w:p>
        </w:tc>
      </w:tr>
      <w:tr w:rsidR="009602CF" w14:paraId="497FB63A" w14:textId="77777777" w:rsidTr="009602CF">
        <w:tc>
          <w:tcPr>
            <w:tcW w:w="3116" w:type="dxa"/>
          </w:tcPr>
          <w:p w14:paraId="789CD51D" w14:textId="27DA1CCB" w:rsidR="009602CF" w:rsidRDefault="00551CC0" w:rsidP="00551CC0">
            <w:pPr>
              <w:jc w:val="center"/>
            </w:pPr>
            <w:r>
              <w:t>6”</w:t>
            </w:r>
          </w:p>
        </w:tc>
        <w:tc>
          <w:tcPr>
            <w:tcW w:w="3117" w:type="dxa"/>
          </w:tcPr>
          <w:p w14:paraId="33A8AF66" w14:textId="04D6D55D" w:rsidR="009602CF" w:rsidRDefault="00551CC0" w:rsidP="00551CC0">
            <w:pPr>
              <w:jc w:val="center"/>
            </w:pPr>
            <w:r>
              <w:t>$861.03</w:t>
            </w:r>
          </w:p>
        </w:tc>
        <w:tc>
          <w:tcPr>
            <w:tcW w:w="3117" w:type="dxa"/>
          </w:tcPr>
          <w:p w14:paraId="695DAB40" w14:textId="7D8A5A09" w:rsidR="009602CF" w:rsidRDefault="005401F5" w:rsidP="00551CC0">
            <w:pPr>
              <w:jc w:val="center"/>
            </w:pPr>
            <w:r>
              <w:t>$1090.79</w:t>
            </w:r>
          </w:p>
        </w:tc>
      </w:tr>
    </w:tbl>
    <w:p w14:paraId="3CD25091" w14:textId="32C8620A" w:rsidR="009602CF" w:rsidRDefault="005401F5">
      <w:r>
        <w:t>*</w:t>
      </w:r>
      <w:proofErr w:type="gramStart"/>
      <w:r>
        <w:t>per</w:t>
      </w:r>
      <w:proofErr w:type="gramEnd"/>
      <w:r>
        <w:t xml:space="preserve"> </w:t>
      </w:r>
      <w:r w:rsidRPr="005401F5">
        <w:rPr>
          <w:color w:val="4472C4" w:themeColor="accent1"/>
        </w:rPr>
        <w:t>BLMC 136.04.100(A)</w:t>
      </w:r>
      <w:r>
        <w:t xml:space="preserve">, qualifying seniors/disabled persons may apply for a 50% reduction from the water availability charge.  For details see </w:t>
      </w:r>
      <w:hyperlink r:id="rId7" w:history="1">
        <w:r w:rsidRPr="00FF0E2A">
          <w:rPr>
            <w:rStyle w:val="Hyperlink"/>
          </w:rPr>
          <w:t>HTTPS://bonneylakewa.seamlessdocs.com/f/utildiscapp</w:t>
        </w:r>
      </w:hyperlink>
      <w:r>
        <w:t xml:space="preserve"> or call (253) 447-4317.</w:t>
      </w:r>
    </w:p>
    <w:p w14:paraId="7057B00F" w14:textId="72AE4849" w:rsidR="005401F5" w:rsidRPr="00C10A02" w:rsidRDefault="005401F5">
      <w:pPr>
        <w:rPr>
          <w:b/>
          <w:bCs/>
          <w:color w:val="4472C4" w:themeColor="accent1"/>
          <w:sz w:val="28"/>
          <w:szCs w:val="28"/>
        </w:rPr>
      </w:pPr>
      <w:r w:rsidRPr="00C10A02">
        <w:rPr>
          <w:b/>
          <w:bCs/>
          <w:color w:val="4472C4" w:themeColor="accent1"/>
          <w:sz w:val="28"/>
          <w:szCs w:val="28"/>
        </w:rPr>
        <w:t>Water Consumption Rates</w:t>
      </w:r>
    </w:p>
    <w:p w14:paraId="30E584BF" w14:textId="106503B7" w:rsidR="005401F5" w:rsidRDefault="005401F5">
      <w:r>
        <w:t xml:space="preserve">Water consumption is recorded by water meters in cubic feet (7.48 gallons = 1 cubic foot).  Water meters are read in hundreds of cubic feet (CCF).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5401F5" w:rsidRPr="00C91664" w14:paraId="00D7E7CE" w14:textId="77777777" w:rsidTr="005401F5">
        <w:tc>
          <w:tcPr>
            <w:tcW w:w="3116" w:type="dxa"/>
          </w:tcPr>
          <w:p w14:paraId="7D6809DD" w14:textId="596CDA1C" w:rsidR="005401F5" w:rsidRPr="00C91664" w:rsidRDefault="005401F5">
            <w:pPr>
              <w:rPr>
                <w:b/>
                <w:bCs/>
              </w:rPr>
            </w:pPr>
            <w:r w:rsidRPr="00C91664">
              <w:rPr>
                <w:b/>
                <w:bCs/>
              </w:rPr>
              <w:t>Winter -October</w:t>
            </w:r>
            <w:r w:rsidR="00C91664" w:rsidRPr="00C91664">
              <w:rPr>
                <w:b/>
                <w:bCs/>
              </w:rPr>
              <w:t xml:space="preserve"> 1</w:t>
            </w:r>
            <w:r w:rsidR="00C91664" w:rsidRPr="00C91664">
              <w:rPr>
                <w:b/>
                <w:bCs/>
                <w:vertAlign w:val="superscript"/>
              </w:rPr>
              <w:t>st</w:t>
            </w:r>
            <w:r w:rsidR="00C91664" w:rsidRPr="00C91664">
              <w:rPr>
                <w:b/>
                <w:bCs/>
              </w:rPr>
              <w:t xml:space="preserve"> to May 31</w:t>
            </w:r>
            <w:r w:rsidR="00C91664" w:rsidRPr="00C91664">
              <w:rPr>
                <w:b/>
                <w:bCs/>
                <w:vertAlign w:val="superscript"/>
              </w:rPr>
              <w:t>st</w:t>
            </w:r>
          </w:p>
        </w:tc>
        <w:tc>
          <w:tcPr>
            <w:tcW w:w="3117" w:type="dxa"/>
          </w:tcPr>
          <w:p w14:paraId="1B4F6DD5" w14:textId="71D28757" w:rsidR="005401F5" w:rsidRPr="00C91664" w:rsidRDefault="00C91664">
            <w:pPr>
              <w:rPr>
                <w:b/>
                <w:bCs/>
              </w:rPr>
            </w:pPr>
            <w:r w:rsidRPr="00C91664">
              <w:rPr>
                <w:b/>
                <w:bCs/>
              </w:rPr>
              <w:t>Inside City Limits</w:t>
            </w:r>
          </w:p>
        </w:tc>
        <w:tc>
          <w:tcPr>
            <w:tcW w:w="3117" w:type="dxa"/>
          </w:tcPr>
          <w:p w14:paraId="7E342A5B" w14:textId="77777777" w:rsidR="005401F5" w:rsidRPr="00C91664" w:rsidRDefault="00C91664">
            <w:pPr>
              <w:rPr>
                <w:b/>
                <w:bCs/>
              </w:rPr>
            </w:pPr>
            <w:r w:rsidRPr="00C91664">
              <w:rPr>
                <w:b/>
                <w:bCs/>
              </w:rPr>
              <w:t>Outside City Limits</w:t>
            </w:r>
          </w:p>
          <w:p w14:paraId="5135324F" w14:textId="54778205" w:rsidR="00C91664" w:rsidRPr="00C91664" w:rsidRDefault="00C91664">
            <w:pPr>
              <w:rPr>
                <w:b/>
                <w:bCs/>
              </w:rPr>
            </w:pPr>
          </w:p>
        </w:tc>
      </w:tr>
      <w:tr w:rsidR="005401F5" w14:paraId="46AAD3C2" w14:textId="77777777" w:rsidTr="005401F5">
        <w:tc>
          <w:tcPr>
            <w:tcW w:w="3116" w:type="dxa"/>
          </w:tcPr>
          <w:p w14:paraId="75E47AE9" w14:textId="69EED305" w:rsidR="005401F5" w:rsidRDefault="00C91664">
            <w:r>
              <w:t>0-10 CCF per month</w:t>
            </w:r>
          </w:p>
        </w:tc>
        <w:tc>
          <w:tcPr>
            <w:tcW w:w="3117" w:type="dxa"/>
          </w:tcPr>
          <w:p w14:paraId="594C3BDF" w14:textId="364185E4" w:rsidR="005401F5" w:rsidRDefault="00C91664">
            <w:r>
              <w:t>$1.80/CCF</w:t>
            </w:r>
          </w:p>
        </w:tc>
        <w:tc>
          <w:tcPr>
            <w:tcW w:w="3117" w:type="dxa"/>
          </w:tcPr>
          <w:p w14:paraId="5CA1CFB9" w14:textId="091E2982" w:rsidR="005401F5" w:rsidRDefault="00C91664">
            <w:r>
              <w:t>$2.60/CCF</w:t>
            </w:r>
          </w:p>
        </w:tc>
      </w:tr>
      <w:tr w:rsidR="005401F5" w14:paraId="2BE8C706" w14:textId="77777777" w:rsidTr="005401F5">
        <w:tc>
          <w:tcPr>
            <w:tcW w:w="3116" w:type="dxa"/>
          </w:tcPr>
          <w:p w14:paraId="228A945E" w14:textId="73265200" w:rsidR="005401F5" w:rsidRDefault="00C91664">
            <w:r>
              <w:t>Over 10 CCF per month</w:t>
            </w:r>
          </w:p>
        </w:tc>
        <w:tc>
          <w:tcPr>
            <w:tcW w:w="3117" w:type="dxa"/>
          </w:tcPr>
          <w:p w14:paraId="396A9A4A" w14:textId="41567F65" w:rsidR="005401F5" w:rsidRDefault="00C91664">
            <w:r>
              <w:t>$3.57/CCF</w:t>
            </w:r>
          </w:p>
        </w:tc>
        <w:tc>
          <w:tcPr>
            <w:tcW w:w="3117" w:type="dxa"/>
          </w:tcPr>
          <w:p w14:paraId="49ADCEF1" w14:textId="06DDBBFE" w:rsidR="005401F5" w:rsidRDefault="00C91664">
            <w:r>
              <w:t>$5.21/CCF</w:t>
            </w:r>
          </w:p>
        </w:tc>
      </w:tr>
      <w:tr w:rsidR="00C91664" w:rsidRPr="00C91664" w14:paraId="2F1FB6FA" w14:textId="77777777" w:rsidTr="005401F5">
        <w:tc>
          <w:tcPr>
            <w:tcW w:w="3116" w:type="dxa"/>
          </w:tcPr>
          <w:p w14:paraId="1C27F1FF" w14:textId="77777777" w:rsidR="005401F5" w:rsidRPr="00C91664" w:rsidRDefault="005401F5"/>
        </w:tc>
        <w:tc>
          <w:tcPr>
            <w:tcW w:w="3117" w:type="dxa"/>
          </w:tcPr>
          <w:p w14:paraId="437B7BAF" w14:textId="77777777" w:rsidR="005401F5" w:rsidRPr="00C91664" w:rsidRDefault="005401F5"/>
        </w:tc>
        <w:tc>
          <w:tcPr>
            <w:tcW w:w="3117" w:type="dxa"/>
          </w:tcPr>
          <w:p w14:paraId="7344BD51" w14:textId="77777777" w:rsidR="005401F5" w:rsidRPr="00C91664" w:rsidRDefault="005401F5"/>
        </w:tc>
      </w:tr>
      <w:tr w:rsidR="00C91664" w14:paraId="6C4A63A5" w14:textId="77777777" w:rsidTr="005401F5">
        <w:tc>
          <w:tcPr>
            <w:tcW w:w="3116" w:type="dxa"/>
          </w:tcPr>
          <w:p w14:paraId="6EBB53AF" w14:textId="23ADCAD7" w:rsidR="00C91664" w:rsidRPr="00C91664" w:rsidRDefault="00C91664" w:rsidP="00C91664">
            <w:pPr>
              <w:rPr>
                <w:b/>
                <w:bCs/>
              </w:rPr>
            </w:pPr>
            <w:r w:rsidRPr="00C91664">
              <w:rPr>
                <w:b/>
                <w:bCs/>
              </w:rPr>
              <w:t>Summer- June 1</w:t>
            </w:r>
            <w:r w:rsidRPr="00C91664">
              <w:rPr>
                <w:b/>
                <w:bCs/>
                <w:vertAlign w:val="superscript"/>
              </w:rPr>
              <w:t>st</w:t>
            </w:r>
            <w:r w:rsidRPr="00C91664">
              <w:rPr>
                <w:b/>
                <w:bCs/>
              </w:rPr>
              <w:t xml:space="preserve"> to September 30</w:t>
            </w:r>
            <w:r w:rsidRPr="00C91664">
              <w:rPr>
                <w:b/>
                <w:bCs/>
                <w:vertAlign w:val="superscript"/>
              </w:rPr>
              <w:t>th</w:t>
            </w:r>
          </w:p>
        </w:tc>
        <w:tc>
          <w:tcPr>
            <w:tcW w:w="3117" w:type="dxa"/>
          </w:tcPr>
          <w:p w14:paraId="238649A0" w14:textId="6F587EC5" w:rsidR="00C91664" w:rsidRDefault="00C91664" w:rsidP="00C91664">
            <w:r w:rsidRPr="00C91664">
              <w:rPr>
                <w:b/>
                <w:bCs/>
              </w:rPr>
              <w:t>Inside City Limits</w:t>
            </w:r>
          </w:p>
        </w:tc>
        <w:tc>
          <w:tcPr>
            <w:tcW w:w="3117" w:type="dxa"/>
          </w:tcPr>
          <w:p w14:paraId="650D6CBF" w14:textId="77777777" w:rsidR="00C91664" w:rsidRPr="00C91664" w:rsidRDefault="00C91664" w:rsidP="00C91664">
            <w:pPr>
              <w:rPr>
                <w:b/>
                <w:bCs/>
              </w:rPr>
            </w:pPr>
            <w:r w:rsidRPr="00C91664">
              <w:rPr>
                <w:b/>
                <w:bCs/>
              </w:rPr>
              <w:t>Outside City Limits</w:t>
            </w:r>
          </w:p>
          <w:p w14:paraId="71C34C13" w14:textId="77777777" w:rsidR="00C91664" w:rsidRDefault="00C91664" w:rsidP="00C91664"/>
        </w:tc>
      </w:tr>
      <w:tr w:rsidR="00C91664" w14:paraId="2399ABEF" w14:textId="77777777" w:rsidTr="005401F5">
        <w:tc>
          <w:tcPr>
            <w:tcW w:w="3116" w:type="dxa"/>
          </w:tcPr>
          <w:p w14:paraId="7CDD9CC3" w14:textId="476509A0" w:rsidR="00C91664" w:rsidRDefault="00C91664" w:rsidP="00C91664">
            <w:r>
              <w:t>0-10 CCF per month</w:t>
            </w:r>
          </w:p>
        </w:tc>
        <w:tc>
          <w:tcPr>
            <w:tcW w:w="3117" w:type="dxa"/>
          </w:tcPr>
          <w:p w14:paraId="5CD3CD5D" w14:textId="61A5A141" w:rsidR="00C91664" w:rsidRDefault="00C91664" w:rsidP="00C91664">
            <w:r>
              <w:t>$1.80/CCF</w:t>
            </w:r>
          </w:p>
        </w:tc>
        <w:tc>
          <w:tcPr>
            <w:tcW w:w="3117" w:type="dxa"/>
          </w:tcPr>
          <w:p w14:paraId="447A519C" w14:textId="1A3589F7" w:rsidR="00C91664" w:rsidRDefault="00C91664" w:rsidP="00C91664">
            <w:r>
              <w:t>$2.60/CCF</w:t>
            </w:r>
          </w:p>
        </w:tc>
      </w:tr>
      <w:tr w:rsidR="00C91664" w14:paraId="041D686C" w14:textId="77777777" w:rsidTr="005401F5">
        <w:tc>
          <w:tcPr>
            <w:tcW w:w="3116" w:type="dxa"/>
          </w:tcPr>
          <w:p w14:paraId="5965B6A1" w14:textId="47551C4E" w:rsidR="00C91664" w:rsidRDefault="00C91664" w:rsidP="00C91664">
            <w:r>
              <w:t>11-20 CCF per month (10-20CCF Outside City Limits</w:t>
            </w:r>
          </w:p>
        </w:tc>
        <w:tc>
          <w:tcPr>
            <w:tcW w:w="3117" w:type="dxa"/>
          </w:tcPr>
          <w:p w14:paraId="2E1C3148" w14:textId="0A9AD77E" w:rsidR="00C91664" w:rsidRDefault="00C91664" w:rsidP="00C91664">
            <w:r>
              <w:t>$3.90/CCF</w:t>
            </w:r>
          </w:p>
        </w:tc>
        <w:tc>
          <w:tcPr>
            <w:tcW w:w="3117" w:type="dxa"/>
          </w:tcPr>
          <w:p w14:paraId="0A9B5520" w14:textId="203D2A50" w:rsidR="00C91664" w:rsidRDefault="00C91664" w:rsidP="00C91664">
            <w:r>
              <w:t>$5.45/CCF</w:t>
            </w:r>
          </w:p>
        </w:tc>
      </w:tr>
      <w:tr w:rsidR="00C91664" w14:paraId="2DF79BE2" w14:textId="77777777" w:rsidTr="005401F5">
        <w:tc>
          <w:tcPr>
            <w:tcW w:w="3116" w:type="dxa"/>
          </w:tcPr>
          <w:p w14:paraId="773BA8C2" w14:textId="4F9ABC1F" w:rsidR="00C91664" w:rsidRDefault="00C91664" w:rsidP="00C91664">
            <w:r>
              <w:t>21-30 CCF per month (20-30 CCF Outside City Limits)</w:t>
            </w:r>
          </w:p>
        </w:tc>
        <w:tc>
          <w:tcPr>
            <w:tcW w:w="3117" w:type="dxa"/>
          </w:tcPr>
          <w:p w14:paraId="46C61D27" w14:textId="00C283A4" w:rsidR="00C91664" w:rsidRDefault="00C91664" w:rsidP="00C91664">
            <w:r>
              <w:t>$5.45/CCF</w:t>
            </w:r>
          </w:p>
        </w:tc>
        <w:tc>
          <w:tcPr>
            <w:tcW w:w="3117" w:type="dxa"/>
          </w:tcPr>
          <w:p w14:paraId="3959329E" w14:textId="49602F28" w:rsidR="00C91664" w:rsidRDefault="00C91664" w:rsidP="00C91664">
            <w:r>
              <w:t>$7.65/CCF</w:t>
            </w:r>
          </w:p>
        </w:tc>
      </w:tr>
      <w:tr w:rsidR="00C91664" w14:paraId="6CEBC868" w14:textId="77777777" w:rsidTr="005401F5">
        <w:tc>
          <w:tcPr>
            <w:tcW w:w="3116" w:type="dxa"/>
          </w:tcPr>
          <w:p w14:paraId="0F2407B1" w14:textId="443FE0F8" w:rsidR="00C91664" w:rsidRDefault="00C91664" w:rsidP="00C91664">
            <w:r>
              <w:lastRenderedPageBreak/>
              <w:t>31 or more CCF per month (30 or more CCF outside city limits)</w:t>
            </w:r>
          </w:p>
        </w:tc>
        <w:tc>
          <w:tcPr>
            <w:tcW w:w="3117" w:type="dxa"/>
          </w:tcPr>
          <w:p w14:paraId="7447DBED" w14:textId="0DEE7254" w:rsidR="00C91664" w:rsidRDefault="00C91664" w:rsidP="00C91664">
            <w:r>
              <w:t>$7.02/CCF</w:t>
            </w:r>
          </w:p>
        </w:tc>
        <w:tc>
          <w:tcPr>
            <w:tcW w:w="3117" w:type="dxa"/>
          </w:tcPr>
          <w:p w14:paraId="03CD1002" w14:textId="3A462725" w:rsidR="00C91664" w:rsidRDefault="00C91664" w:rsidP="00C91664">
            <w:r>
              <w:t>$10.69/CCF</w:t>
            </w:r>
          </w:p>
        </w:tc>
      </w:tr>
    </w:tbl>
    <w:p w14:paraId="355198DA" w14:textId="48647B98" w:rsidR="00C91664" w:rsidRDefault="00C91664">
      <w:r w:rsidRPr="009B2BBF">
        <w:rPr>
          <w:b/>
          <w:bCs/>
        </w:rPr>
        <w:t>Multifamily Residences (apartments, condos, etc.)</w:t>
      </w:r>
      <w:r w:rsidR="008E1F34" w:rsidRPr="009B2BBF">
        <w:rPr>
          <w:b/>
          <w:bCs/>
        </w:rPr>
        <w:t xml:space="preserve"> </w:t>
      </w:r>
      <w:r w:rsidR="008E1F34">
        <w:t>are billed the base rate/availability charge multiplied by the number of units. The consumption allowance is 1000 cubic feet per month per unit.  SEE BLMCX Chapter 13.04.100(D), Multiple Residential Units.</w:t>
      </w:r>
    </w:p>
    <w:p w14:paraId="6C343717" w14:textId="77777777" w:rsidR="009B2BBF" w:rsidRDefault="009B2BBF"/>
    <w:p w14:paraId="7484D4CA" w14:textId="596A6FBB" w:rsidR="009B2BBF" w:rsidRPr="00C10A02" w:rsidRDefault="009B2BBF">
      <w:pPr>
        <w:rPr>
          <w:b/>
          <w:bCs/>
          <w:color w:val="4472C4" w:themeColor="accent1"/>
          <w:sz w:val="28"/>
          <w:szCs w:val="28"/>
        </w:rPr>
      </w:pPr>
      <w:r w:rsidRPr="00C10A02">
        <w:rPr>
          <w:b/>
          <w:bCs/>
          <w:color w:val="4472C4" w:themeColor="accent1"/>
          <w:sz w:val="28"/>
          <w:szCs w:val="28"/>
        </w:rPr>
        <w:t>Water Rate Adjustments (see BLMC 13.04.100)</w:t>
      </w:r>
    </w:p>
    <w:p w14:paraId="281F73DF" w14:textId="7A7166B6" w:rsidR="009B2BBF" w:rsidRDefault="009B2BBF">
      <w:pPr>
        <w:rPr>
          <w:b/>
          <w:bCs/>
        </w:rPr>
      </w:pPr>
      <w:r>
        <w:rPr>
          <w:b/>
          <w:bCs/>
        </w:rPr>
        <w:t>Utility Miscellaneous Charges</w:t>
      </w:r>
      <w:r>
        <w:rPr>
          <w:b/>
          <w:bCs/>
        </w:rPr>
        <w:tab/>
      </w:r>
      <w:r>
        <w:rPr>
          <w:b/>
          <w:bCs/>
        </w:rPr>
        <w:tab/>
        <w:t>BLMC Chapters 13.04.091 and 13.04.080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9B2BBF" w14:paraId="4F918E48" w14:textId="77777777" w:rsidTr="009B2BBF">
        <w:tc>
          <w:tcPr>
            <w:tcW w:w="4675" w:type="dxa"/>
          </w:tcPr>
          <w:p w14:paraId="2F4CAD60" w14:textId="7D38996E" w:rsidR="009B2BBF" w:rsidRDefault="009B2BBF">
            <w:pPr>
              <w:rPr>
                <w:b/>
                <w:bCs/>
              </w:rPr>
            </w:pPr>
            <w:r>
              <w:rPr>
                <w:b/>
                <w:bCs/>
              </w:rPr>
              <w:t>Miscellaneous Charges</w:t>
            </w:r>
          </w:p>
        </w:tc>
        <w:tc>
          <w:tcPr>
            <w:tcW w:w="4675" w:type="dxa"/>
          </w:tcPr>
          <w:p w14:paraId="2BA40CF3" w14:textId="37E76988" w:rsidR="009B2BBF" w:rsidRDefault="009B2BBF">
            <w:pPr>
              <w:rPr>
                <w:b/>
                <w:bCs/>
              </w:rPr>
            </w:pPr>
            <w:r>
              <w:rPr>
                <w:b/>
                <w:bCs/>
              </w:rPr>
              <w:t>Amount</w:t>
            </w:r>
          </w:p>
        </w:tc>
      </w:tr>
      <w:tr w:rsidR="009B2BBF" w:rsidRPr="009B2BBF" w14:paraId="78E43BED" w14:textId="77777777" w:rsidTr="009B2BBF">
        <w:tc>
          <w:tcPr>
            <w:tcW w:w="4675" w:type="dxa"/>
          </w:tcPr>
          <w:p w14:paraId="1E0C4F5A" w14:textId="3B2BC208" w:rsidR="009B2BBF" w:rsidRPr="009B2BBF" w:rsidRDefault="009B2BBF">
            <w:r w:rsidRPr="009B2BBF">
              <w:t>Change of ownership</w:t>
            </w:r>
          </w:p>
        </w:tc>
        <w:tc>
          <w:tcPr>
            <w:tcW w:w="4675" w:type="dxa"/>
          </w:tcPr>
          <w:p w14:paraId="594CF873" w14:textId="17C62D90" w:rsidR="009B2BBF" w:rsidRPr="009B2BBF" w:rsidRDefault="009B2BBF">
            <w:r>
              <w:t>$35.00</w:t>
            </w:r>
          </w:p>
        </w:tc>
      </w:tr>
      <w:tr w:rsidR="009B2BBF" w:rsidRPr="009B2BBF" w14:paraId="6D724648" w14:textId="77777777" w:rsidTr="009B2BBF">
        <w:tc>
          <w:tcPr>
            <w:tcW w:w="4675" w:type="dxa"/>
          </w:tcPr>
          <w:p w14:paraId="66DBDF5E" w14:textId="3577818C" w:rsidR="009B2BBF" w:rsidRPr="009B2BBF" w:rsidRDefault="009B2BBF">
            <w:r w:rsidRPr="009B2BBF">
              <w:t>Tenant Change Request (per request)</w:t>
            </w:r>
          </w:p>
        </w:tc>
        <w:tc>
          <w:tcPr>
            <w:tcW w:w="4675" w:type="dxa"/>
          </w:tcPr>
          <w:p w14:paraId="1C15051F" w14:textId="7370BE12" w:rsidR="009B2BBF" w:rsidRPr="009B2BBF" w:rsidRDefault="009B2BBF">
            <w:r w:rsidRPr="009B2BBF">
              <w:t>$45</w:t>
            </w:r>
          </w:p>
        </w:tc>
      </w:tr>
      <w:tr w:rsidR="009B2BBF" w:rsidRPr="009B2BBF" w14:paraId="5560F16A" w14:textId="77777777" w:rsidTr="009B2BBF">
        <w:tc>
          <w:tcPr>
            <w:tcW w:w="4675" w:type="dxa"/>
          </w:tcPr>
          <w:p w14:paraId="53FF380F" w14:textId="5B051F65" w:rsidR="009B2BBF" w:rsidRPr="009B2BBF" w:rsidRDefault="009B2BBF">
            <w:r w:rsidRPr="009B2BBF">
              <w:t>Read Outside of the standard cycle</w:t>
            </w:r>
          </w:p>
        </w:tc>
        <w:tc>
          <w:tcPr>
            <w:tcW w:w="4675" w:type="dxa"/>
          </w:tcPr>
          <w:p w14:paraId="011673B1" w14:textId="62D741CF" w:rsidR="009B2BBF" w:rsidRPr="009B2BBF" w:rsidRDefault="009B2BBF">
            <w:r w:rsidRPr="009B2BBF">
              <w:t>$45</w:t>
            </w:r>
          </w:p>
        </w:tc>
      </w:tr>
      <w:tr w:rsidR="009B2BBF" w:rsidRPr="009B2BBF" w14:paraId="1F4E4A23" w14:textId="77777777" w:rsidTr="009B2BBF">
        <w:tc>
          <w:tcPr>
            <w:tcW w:w="4675" w:type="dxa"/>
          </w:tcPr>
          <w:p w14:paraId="031A5E7B" w14:textId="464DFBF1" w:rsidR="009B2BBF" w:rsidRPr="009B2BBF" w:rsidRDefault="009B2BBF">
            <w:r w:rsidRPr="009B2BBF">
              <w:t>Estimated Final (per request)</w:t>
            </w:r>
          </w:p>
        </w:tc>
        <w:tc>
          <w:tcPr>
            <w:tcW w:w="4675" w:type="dxa"/>
          </w:tcPr>
          <w:p w14:paraId="25A75400" w14:textId="7F2B5780" w:rsidR="009B2BBF" w:rsidRPr="009B2BBF" w:rsidRDefault="009B2BBF">
            <w:r w:rsidRPr="009B2BBF">
              <w:t>$5.00</w:t>
            </w:r>
          </w:p>
        </w:tc>
      </w:tr>
      <w:tr w:rsidR="009B2BBF" w:rsidRPr="009B2BBF" w14:paraId="73449FE7" w14:textId="77777777" w:rsidTr="009B2BBF">
        <w:tc>
          <w:tcPr>
            <w:tcW w:w="4675" w:type="dxa"/>
          </w:tcPr>
          <w:p w14:paraId="197EEBCC" w14:textId="45A54D12" w:rsidR="009B2BBF" w:rsidRPr="009B2BBF" w:rsidRDefault="009B2BBF">
            <w:r w:rsidRPr="009B2BBF">
              <w:t>Meter Testing Charge</w:t>
            </w:r>
          </w:p>
        </w:tc>
        <w:tc>
          <w:tcPr>
            <w:tcW w:w="4675" w:type="dxa"/>
          </w:tcPr>
          <w:p w14:paraId="3528A4BC" w14:textId="0FB450F4" w:rsidR="009B2BBF" w:rsidRPr="009B2BBF" w:rsidRDefault="009B2BBF">
            <w:r w:rsidRPr="009B2BBF">
              <w:t>$50 deposit</w:t>
            </w:r>
          </w:p>
        </w:tc>
      </w:tr>
      <w:tr w:rsidR="009B2BBF" w:rsidRPr="009B2BBF" w14:paraId="5BBF95C4" w14:textId="77777777" w:rsidTr="009B2BBF">
        <w:tc>
          <w:tcPr>
            <w:tcW w:w="4675" w:type="dxa"/>
          </w:tcPr>
          <w:p w14:paraId="2AB7586E" w14:textId="66C7C3ED" w:rsidR="009B2BBF" w:rsidRPr="009B2BBF" w:rsidRDefault="009B2BBF">
            <w:r w:rsidRPr="009B2BBF">
              <w:t>Payment plan Setup charge</w:t>
            </w:r>
          </w:p>
        </w:tc>
        <w:tc>
          <w:tcPr>
            <w:tcW w:w="4675" w:type="dxa"/>
          </w:tcPr>
          <w:p w14:paraId="56C84302" w14:textId="1F9DE4E2" w:rsidR="009B2BBF" w:rsidRPr="009B2BBF" w:rsidRDefault="009B2BBF">
            <w:r w:rsidRPr="009B2BBF">
              <w:t>$15</w:t>
            </w:r>
          </w:p>
        </w:tc>
      </w:tr>
      <w:tr w:rsidR="009B2BBF" w:rsidRPr="009B2BBF" w14:paraId="2ED028ED" w14:textId="77777777" w:rsidTr="009B2BBF">
        <w:tc>
          <w:tcPr>
            <w:tcW w:w="4675" w:type="dxa"/>
          </w:tcPr>
          <w:p w14:paraId="5FE16B93" w14:textId="50205C50" w:rsidR="009B2BBF" w:rsidRPr="009B2BBF" w:rsidRDefault="009B2BBF">
            <w:r w:rsidRPr="009B2BBF">
              <w:t>Returned payment charge</w:t>
            </w:r>
          </w:p>
        </w:tc>
        <w:tc>
          <w:tcPr>
            <w:tcW w:w="4675" w:type="dxa"/>
          </w:tcPr>
          <w:p w14:paraId="65E8CB67" w14:textId="60EDE884" w:rsidR="009B2BBF" w:rsidRPr="009B2BBF" w:rsidRDefault="009B2BBF">
            <w:r w:rsidRPr="009B2BBF">
              <w:t>$35</w:t>
            </w:r>
          </w:p>
        </w:tc>
      </w:tr>
      <w:tr w:rsidR="009B2BBF" w:rsidRPr="009B2BBF" w14:paraId="4B0F8D4C" w14:textId="77777777" w:rsidTr="009B2BBF">
        <w:tc>
          <w:tcPr>
            <w:tcW w:w="4675" w:type="dxa"/>
          </w:tcPr>
          <w:p w14:paraId="02BEE544" w14:textId="0986D613" w:rsidR="009B2BBF" w:rsidRPr="009B2BBF" w:rsidRDefault="009B2BBF">
            <w:r w:rsidRPr="009B2BBF">
              <w:t>Turn on Charge for Delinquency</w:t>
            </w:r>
          </w:p>
        </w:tc>
        <w:tc>
          <w:tcPr>
            <w:tcW w:w="4675" w:type="dxa"/>
          </w:tcPr>
          <w:p w14:paraId="706E1B05" w14:textId="6A628CB1" w:rsidR="009B2BBF" w:rsidRPr="009B2BBF" w:rsidRDefault="009B2BBF">
            <w:r w:rsidRPr="009B2BBF">
              <w:t>$100</w:t>
            </w:r>
          </w:p>
        </w:tc>
      </w:tr>
      <w:tr w:rsidR="009B2BBF" w:rsidRPr="009B2BBF" w14:paraId="7332205B" w14:textId="77777777" w:rsidTr="009B2BBF">
        <w:tc>
          <w:tcPr>
            <w:tcW w:w="4675" w:type="dxa"/>
          </w:tcPr>
          <w:p w14:paraId="2EAC7E8B" w14:textId="48DF1842" w:rsidR="009B2BBF" w:rsidRPr="009B2BBF" w:rsidRDefault="009B2BBF">
            <w:r w:rsidRPr="009B2BBF">
              <w:t xml:space="preserve">Turn on charge for any reason </w:t>
            </w:r>
            <w:r w:rsidRPr="009B2BBF">
              <w:rPr>
                <w:i/>
                <w:iCs/>
              </w:rPr>
              <w:t>other than delinquency</w:t>
            </w:r>
          </w:p>
        </w:tc>
        <w:tc>
          <w:tcPr>
            <w:tcW w:w="4675" w:type="dxa"/>
          </w:tcPr>
          <w:p w14:paraId="2A7F5D7C" w14:textId="3CDA13EF" w:rsidR="009B2BBF" w:rsidRPr="009B2BBF" w:rsidRDefault="009B2BBF">
            <w:r w:rsidRPr="009B2BBF">
              <w:t>$50</w:t>
            </w:r>
          </w:p>
        </w:tc>
      </w:tr>
      <w:tr w:rsidR="009B2BBF" w:rsidRPr="009B2BBF" w14:paraId="7A504B5D" w14:textId="77777777" w:rsidTr="009B2BBF">
        <w:tc>
          <w:tcPr>
            <w:tcW w:w="4675" w:type="dxa"/>
          </w:tcPr>
          <w:p w14:paraId="651039BE" w14:textId="28B7F6A6" w:rsidR="009B2BBF" w:rsidRPr="009B2BBF" w:rsidRDefault="009B2BBF">
            <w:r w:rsidRPr="009B2BBF">
              <w:t>Removal of Meter lock</w:t>
            </w:r>
          </w:p>
        </w:tc>
        <w:tc>
          <w:tcPr>
            <w:tcW w:w="4675" w:type="dxa"/>
          </w:tcPr>
          <w:p w14:paraId="3A842370" w14:textId="2DAB1F88" w:rsidR="009B2BBF" w:rsidRPr="009B2BBF" w:rsidRDefault="009B2BBF">
            <w:r w:rsidRPr="009B2BBF">
              <w:t>$100</w:t>
            </w:r>
          </w:p>
        </w:tc>
      </w:tr>
      <w:tr w:rsidR="009B2BBF" w:rsidRPr="009B2BBF" w14:paraId="2EA11CDC" w14:textId="77777777" w:rsidTr="009B2BBF">
        <w:tc>
          <w:tcPr>
            <w:tcW w:w="4675" w:type="dxa"/>
          </w:tcPr>
          <w:p w14:paraId="75681A28" w14:textId="74E84322" w:rsidR="009B2BBF" w:rsidRPr="009B2BBF" w:rsidRDefault="009B2BBF">
            <w:r w:rsidRPr="009B2BBF">
              <w:t>Damaged meter or setter</w:t>
            </w:r>
          </w:p>
        </w:tc>
        <w:tc>
          <w:tcPr>
            <w:tcW w:w="4675" w:type="dxa"/>
          </w:tcPr>
          <w:p w14:paraId="35C0559C" w14:textId="5305EEC5" w:rsidR="009B2BBF" w:rsidRPr="009B2BBF" w:rsidRDefault="009B2BBF">
            <w:r w:rsidRPr="009B2BBF">
              <w:t>Cost of labor and Materials</w:t>
            </w:r>
          </w:p>
        </w:tc>
      </w:tr>
    </w:tbl>
    <w:p w14:paraId="699AD258" w14:textId="77777777" w:rsidR="009B2BBF" w:rsidRPr="009B2BBF" w:rsidRDefault="009B2BBF">
      <w:pPr>
        <w:rPr>
          <w:b/>
          <w:bCs/>
        </w:rPr>
      </w:pPr>
    </w:p>
    <w:p w14:paraId="0E96BEB9" w14:textId="27422282" w:rsidR="008E1F34" w:rsidRPr="00C10A02" w:rsidRDefault="009B2BBF">
      <w:pPr>
        <w:rPr>
          <w:b/>
          <w:bCs/>
          <w:color w:val="4472C4" w:themeColor="accent1"/>
          <w:sz w:val="28"/>
          <w:szCs w:val="28"/>
        </w:rPr>
      </w:pPr>
      <w:r w:rsidRPr="00C10A02">
        <w:rPr>
          <w:b/>
          <w:bCs/>
          <w:color w:val="4472C4" w:themeColor="accent1"/>
          <w:sz w:val="28"/>
          <w:szCs w:val="28"/>
        </w:rPr>
        <w:t>Irrigation Charges</w:t>
      </w:r>
      <w:r w:rsidRPr="00C10A02">
        <w:rPr>
          <w:b/>
          <w:bCs/>
          <w:color w:val="4472C4" w:themeColor="accent1"/>
          <w:sz w:val="28"/>
          <w:szCs w:val="28"/>
        </w:rPr>
        <w:tab/>
      </w:r>
      <w:r w:rsidRPr="00C10A02">
        <w:rPr>
          <w:b/>
          <w:bCs/>
          <w:color w:val="4472C4" w:themeColor="accent1"/>
          <w:sz w:val="28"/>
          <w:szCs w:val="28"/>
        </w:rPr>
        <w:tab/>
      </w:r>
      <w:r w:rsidRPr="00C10A02">
        <w:rPr>
          <w:b/>
          <w:bCs/>
          <w:color w:val="4472C4" w:themeColor="accent1"/>
          <w:sz w:val="28"/>
          <w:szCs w:val="28"/>
        </w:rPr>
        <w:tab/>
      </w:r>
      <w:r w:rsidRPr="00C10A02">
        <w:rPr>
          <w:b/>
          <w:bCs/>
          <w:color w:val="4472C4" w:themeColor="accent1"/>
          <w:sz w:val="28"/>
          <w:szCs w:val="28"/>
        </w:rPr>
        <w:tab/>
      </w:r>
      <w:r w:rsidRPr="00C10A02">
        <w:rPr>
          <w:b/>
          <w:bCs/>
          <w:color w:val="4472C4" w:themeColor="accent1"/>
          <w:sz w:val="28"/>
          <w:szCs w:val="28"/>
        </w:rPr>
        <w:tab/>
      </w:r>
      <w:r w:rsidRPr="00C10A02">
        <w:rPr>
          <w:b/>
          <w:bCs/>
          <w:color w:val="4472C4" w:themeColor="accent1"/>
          <w:sz w:val="28"/>
          <w:szCs w:val="28"/>
        </w:rPr>
        <w:tab/>
        <w:t>BLMC Chapter 13.04.100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9B2BBF" w14:paraId="26E2D18C" w14:textId="77777777" w:rsidTr="009B2BBF">
        <w:tc>
          <w:tcPr>
            <w:tcW w:w="3116" w:type="dxa"/>
          </w:tcPr>
          <w:p w14:paraId="67B7495A" w14:textId="58947838" w:rsidR="009B2BBF" w:rsidRDefault="009B2BB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Irrigation Charges</w:t>
            </w:r>
          </w:p>
        </w:tc>
        <w:tc>
          <w:tcPr>
            <w:tcW w:w="3117" w:type="dxa"/>
          </w:tcPr>
          <w:p w14:paraId="7D85EDF7" w14:textId="2DEB8274" w:rsidR="009B2BBF" w:rsidRDefault="009B2BB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Inside City Limits</w:t>
            </w:r>
          </w:p>
        </w:tc>
        <w:tc>
          <w:tcPr>
            <w:tcW w:w="3117" w:type="dxa"/>
          </w:tcPr>
          <w:p w14:paraId="160708A1" w14:textId="3EBFA3A7" w:rsidR="009B2BBF" w:rsidRDefault="009B2BB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Outside City </w:t>
            </w:r>
            <w:proofErr w:type="spellStart"/>
            <w:r>
              <w:rPr>
                <w:b/>
                <w:bCs/>
                <w:sz w:val="28"/>
                <w:szCs w:val="28"/>
              </w:rPr>
              <w:t>LImits</w:t>
            </w:r>
            <w:proofErr w:type="spellEnd"/>
          </w:p>
        </w:tc>
      </w:tr>
      <w:tr w:rsidR="009B2BBF" w:rsidRPr="009B2BBF" w14:paraId="30626E9F" w14:textId="77777777" w:rsidTr="009B2BBF">
        <w:tc>
          <w:tcPr>
            <w:tcW w:w="3116" w:type="dxa"/>
          </w:tcPr>
          <w:p w14:paraId="668D9F28" w14:textId="6C2A5935" w:rsidR="009B2BBF" w:rsidRPr="009B2BBF" w:rsidRDefault="009B2BBF">
            <w:r w:rsidRPr="009B2BBF">
              <w:t>IR meter Consumption charges-Winter</w:t>
            </w:r>
          </w:p>
        </w:tc>
        <w:tc>
          <w:tcPr>
            <w:tcW w:w="3117" w:type="dxa"/>
          </w:tcPr>
          <w:p w14:paraId="621F9D51" w14:textId="1F842C61" w:rsidR="009B2BBF" w:rsidRPr="009B2BBF" w:rsidRDefault="009B2BBF">
            <w:r w:rsidRPr="009B2BBF">
              <w:t>$4.46/CCF</w:t>
            </w:r>
          </w:p>
        </w:tc>
        <w:tc>
          <w:tcPr>
            <w:tcW w:w="3117" w:type="dxa"/>
          </w:tcPr>
          <w:p w14:paraId="71E319D2" w14:textId="18B6A758" w:rsidR="009B2BBF" w:rsidRPr="009B2BBF" w:rsidRDefault="009B2BBF">
            <w:r w:rsidRPr="009B2BBF">
              <w:t>$6.50/CCF</w:t>
            </w:r>
          </w:p>
        </w:tc>
      </w:tr>
      <w:tr w:rsidR="009B2BBF" w:rsidRPr="009B2BBF" w14:paraId="5EE938BD" w14:textId="77777777" w:rsidTr="009B2BBF">
        <w:tc>
          <w:tcPr>
            <w:tcW w:w="3116" w:type="dxa"/>
          </w:tcPr>
          <w:p w14:paraId="4B3AA1CD" w14:textId="203F32BA" w:rsidR="009B2BBF" w:rsidRPr="009B2BBF" w:rsidRDefault="009B2BBF">
            <w:r w:rsidRPr="009B2BBF">
              <w:t>IR meter Consumption charges-</w:t>
            </w:r>
            <w:r w:rsidRPr="009B2BBF">
              <w:t>Summer</w:t>
            </w:r>
          </w:p>
        </w:tc>
        <w:tc>
          <w:tcPr>
            <w:tcW w:w="3117" w:type="dxa"/>
          </w:tcPr>
          <w:p w14:paraId="235E1FB9" w14:textId="791B5DFB" w:rsidR="009B2BBF" w:rsidRPr="009B2BBF" w:rsidRDefault="009B2BBF">
            <w:r w:rsidRPr="009B2BBF">
              <w:t>$4.87/CCF</w:t>
            </w:r>
          </w:p>
        </w:tc>
        <w:tc>
          <w:tcPr>
            <w:tcW w:w="3117" w:type="dxa"/>
          </w:tcPr>
          <w:p w14:paraId="6CF3C569" w14:textId="155E0D8E" w:rsidR="009B2BBF" w:rsidRPr="009B2BBF" w:rsidRDefault="009B2BBF">
            <w:r w:rsidRPr="009B2BBF">
              <w:t>$6.82/CCF</w:t>
            </w:r>
          </w:p>
        </w:tc>
      </w:tr>
    </w:tbl>
    <w:p w14:paraId="3E901BD0" w14:textId="51D35DDF" w:rsidR="009B2BBF" w:rsidRDefault="009B2BBF">
      <w:r w:rsidRPr="004D637A">
        <w:rPr>
          <w:b/>
          <w:bCs/>
        </w:rPr>
        <w:t>*Irrigation meters:</w:t>
      </w:r>
      <w:r>
        <w:rPr>
          <w:b/>
          <w:bCs/>
          <w:sz w:val="28"/>
          <w:szCs w:val="28"/>
        </w:rPr>
        <w:t xml:space="preserve">  </w:t>
      </w:r>
      <w:r w:rsidRPr="004D637A">
        <w:t>a separate meter is required for irrigation use.  There is no availability charge for irrigation meters.  The commodity charge is 25% greater than the applicable commodity cha</w:t>
      </w:r>
      <w:r w:rsidR="004D637A" w:rsidRPr="004D637A">
        <w:t>r</w:t>
      </w:r>
      <w:r w:rsidRPr="004D637A">
        <w:t>ge for non-irrigation usage the exceeds 10ccf</w:t>
      </w:r>
      <w:r w:rsidR="004D637A" w:rsidRPr="004D637A">
        <w:t xml:space="preserve"> per mo</w:t>
      </w:r>
      <w:r w:rsidR="004D637A">
        <w:t>n</w:t>
      </w:r>
      <w:r w:rsidR="004D637A" w:rsidRPr="004D637A">
        <w:t>th (the ‘Tail</w:t>
      </w:r>
      <w:r w:rsidR="004D637A">
        <w:t>-</w:t>
      </w:r>
      <w:r w:rsidR="004D637A" w:rsidRPr="004D637A">
        <w:t>block”).  See BLMC 13.04.100(H).</w:t>
      </w:r>
    </w:p>
    <w:p w14:paraId="7CA8DF42" w14:textId="6A2B32DB" w:rsidR="004D637A" w:rsidRPr="00C10A02" w:rsidRDefault="004D637A">
      <w:pPr>
        <w:rPr>
          <w:b/>
          <w:bCs/>
          <w:color w:val="4472C4" w:themeColor="accent1"/>
          <w:sz w:val="28"/>
          <w:szCs w:val="28"/>
        </w:rPr>
      </w:pPr>
      <w:r w:rsidRPr="00C10A02">
        <w:rPr>
          <w:b/>
          <w:bCs/>
          <w:color w:val="4472C4" w:themeColor="accent1"/>
          <w:sz w:val="28"/>
          <w:szCs w:val="28"/>
        </w:rPr>
        <w:t xml:space="preserve">Leakage Rate Reduction </w:t>
      </w:r>
      <w:r w:rsidRPr="00C10A02">
        <w:rPr>
          <w:b/>
          <w:bCs/>
          <w:color w:val="4472C4" w:themeColor="accent1"/>
          <w:sz w:val="28"/>
          <w:szCs w:val="28"/>
        </w:rPr>
        <w:tab/>
      </w:r>
      <w:r w:rsidRPr="00C10A02">
        <w:rPr>
          <w:b/>
          <w:bCs/>
          <w:color w:val="4472C4" w:themeColor="accent1"/>
          <w:sz w:val="28"/>
          <w:szCs w:val="28"/>
        </w:rPr>
        <w:tab/>
      </w:r>
      <w:r w:rsidRPr="00C10A02">
        <w:rPr>
          <w:b/>
          <w:bCs/>
          <w:color w:val="4472C4" w:themeColor="accent1"/>
          <w:sz w:val="28"/>
          <w:szCs w:val="28"/>
        </w:rPr>
        <w:tab/>
      </w:r>
      <w:r w:rsidRPr="00C10A02">
        <w:rPr>
          <w:b/>
          <w:bCs/>
          <w:color w:val="4472C4" w:themeColor="accent1"/>
          <w:sz w:val="28"/>
          <w:szCs w:val="28"/>
        </w:rPr>
        <w:tab/>
      </w:r>
      <w:r w:rsidRPr="00C10A02">
        <w:rPr>
          <w:b/>
          <w:bCs/>
          <w:color w:val="4472C4" w:themeColor="accent1"/>
          <w:sz w:val="28"/>
          <w:szCs w:val="28"/>
        </w:rPr>
        <w:tab/>
        <w:t>BLMC Chapter 13.04.100(G)</w:t>
      </w:r>
    </w:p>
    <w:p w14:paraId="53E5EDD1" w14:textId="25F5D361" w:rsidR="004D637A" w:rsidRDefault="004D637A">
      <w:r>
        <w:t xml:space="preserve">The City of Bonney Lake offers a leak adjustment to customers who have had a leak in their private plumbing system after the leak is repaired. The adjustment shall be two-Thirds of that portion of the customer’s water bill which is over the average normal water usage.  For details and leak adjustment request form see </w:t>
      </w:r>
      <w:hyperlink r:id="rId8" w:history="1">
        <w:r w:rsidRPr="00FF0E2A">
          <w:rPr>
            <w:rStyle w:val="Hyperlink"/>
          </w:rPr>
          <w:t>https://bonneylakewa.seamlessdocs.com/f/utilleakadj or call (253</w:t>
        </w:r>
      </w:hyperlink>
      <w:r>
        <w:t xml:space="preserve"> 447-4317.</w:t>
      </w:r>
    </w:p>
    <w:p w14:paraId="7CBE83EA" w14:textId="77777777" w:rsidR="00C10A02" w:rsidRDefault="00C10A02" w:rsidP="004D637A">
      <w:pPr>
        <w:rPr>
          <w:b/>
          <w:bCs/>
          <w:sz w:val="28"/>
          <w:szCs w:val="28"/>
        </w:rPr>
      </w:pPr>
    </w:p>
    <w:p w14:paraId="558BF166" w14:textId="6CAB2530" w:rsidR="004D637A" w:rsidRPr="00C10A02" w:rsidRDefault="004D637A" w:rsidP="004D637A">
      <w:pPr>
        <w:rPr>
          <w:b/>
          <w:bCs/>
          <w:color w:val="4472C4" w:themeColor="accent1"/>
          <w:sz w:val="28"/>
          <w:szCs w:val="28"/>
        </w:rPr>
      </w:pPr>
      <w:r w:rsidRPr="00C10A02">
        <w:rPr>
          <w:b/>
          <w:bCs/>
          <w:color w:val="4472C4" w:themeColor="accent1"/>
          <w:sz w:val="28"/>
          <w:szCs w:val="28"/>
        </w:rPr>
        <w:lastRenderedPageBreak/>
        <w:t>Storm Water Rates</w:t>
      </w:r>
      <w:r w:rsidRPr="00C10A02">
        <w:rPr>
          <w:b/>
          <w:bCs/>
          <w:color w:val="4472C4" w:themeColor="accent1"/>
          <w:sz w:val="28"/>
          <w:szCs w:val="28"/>
        </w:rPr>
        <w:tab/>
      </w:r>
      <w:r w:rsidRPr="00C10A02">
        <w:rPr>
          <w:b/>
          <w:bCs/>
          <w:color w:val="4472C4" w:themeColor="accent1"/>
          <w:sz w:val="28"/>
          <w:szCs w:val="28"/>
        </w:rPr>
        <w:tab/>
      </w:r>
      <w:r w:rsidRPr="00C10A02">
        <w:rPr>
          <w:b/>
          <w:bCs/>
          <w:color w:val="4472C4" w:themeColor="accent1"/>
          <w:sz w:val="28"/>
          <w:szCs w:val="28"/>
        </w:rPr>
        <w:tab/>
      </w:r>
      <w:r w:rsidRPr="00C10A02">
        <w:rPr>
          <w:b/>
          <w:bCs/>
          <w:color w:val="4472C4" w:themeColor="accent1"/>
          <w:sz w:val="28"/>
          <w:szCs w:val="28"/>
        </w:rPr>
        <w:tab/>
      </w:r>
      <w:r w:rsidRPr="00C10A02">
        <w:rPr>
          <w:b/>
          <w:bCs/>
          <w:color w:val="4472C4" w:themeColor="accent1"/>
          <w:sz w:val="28"/>
          <w:szCs w:val="28"/>
        </w:rPr>
        <w:tab/>
      </w:r>
      <w:r w:rsidRPr="00C10A02">
        <w:rPr>
          <w:b/>
          <w:bCs/>
          <w:color w:val="4472C4" w:themeColor="accent1"/>
          <w:sz w:val="28"/>
          <w:szCs w:val="28"/>
        </w:rPr>
        <w:tab/>
        <w:t>BLMC Chapter 15.14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4D637A" w:rsidRPr="004D637A" w14:paraId="25252136" w14:textId="77777777" w:rsidTr="004D637A">
        <w:tc>
          <w:tcPr>
            <w:tcW w:w="4675" w:type="dxa"/>
          </w:tcPr>
          <w:p w14:paraId="74841627" w14:textId="1D30083C" w:rsidR="004D637A" w:rsidRPr="004D637A" w:rsidRDefault="004D637A" w:rsidP="004D637A">
            <w:r w:rsidRPr="004D637A">
              <w:t>Single-family Residential (per month)</w:t>
            </w:r>
          </w:p>
        </w:tc>
        <w:tc>
          <w:tcPr>
            <w:tcW w:w="4675" w:type="dxa"/>
          </w:tcPr>
          <w:p w14:paraId="0A52CA3C" w14:textId="7A1A621C" w:rsidR="004D637A" w:rsidRPr="004D637A" w:rsidRDefault="004D637A" w:rsidP="004D637A">
            <w:pPr>
              <w:jc w:val="center"/>
            </w:pPr>
            <w:r w:rsidRPr="004D637A">
              <w:t>$15.61</w:t>
            </w:r>
          </w:p>
        </w:tc>
      </w:tr>
      <w:tr w:rsidR="004D637A" w:rsidRPr="004D637A" w14:paraId="171991AF" w14:textId="77777777" w:rsidTr="004D637A">
        <w:tc>
          <w:tcPr>
            <w:tcW w:w="4675" w:type="dxa"/>
          </w:tcPr>
          <w:p w14:paraId="1C77DE0D" w14:textId="55BD7DB6" w:rsidR="004D637A" w:rsidRPr="004D637A" w:rsidRDefault="004D637A" w:rsidP="004D637A">
            <w:r w:rsidRPr="004D637A">
              <w:t>Muti-family units (per month)</w:t>
            </w:r>
          </w:p>
        </w:tc>
        <w:tc>
          <w:tcPr>
            <w:tcW w:w="4675" w:type="dxa"/>
          </w:tcPr>
          <w:p w14:paraId="3D8E4C80" w14:textId="37B4E5B8" w:rsidR="004D637A" w:rsidRPr="004D637A" w:rsidRDefault="004D637A" w:rsidP="004D637A">
            <w:pPr>
              <w:jc w:val="center"/>
            </w:pPr>
            <w:r w:rsidRPr="004D637A">
              <w:t>$15.61</w:t>
            </w:r>
          </w:p>
        </w:tc>
      </w:tr>
      <w:tr w:rsidR="004D637A" w:rsidRPr="004D637A" w14:paraId="248C66D0" w14:textId="77777777" w:rsidTr="004D637A">
        <w:tc>
          <w:tcPr>
            <w:tcW w:w="4675" w:type="dxa"/>
          </w:tcPr>
          <w:p w14:paraId="4AF6AF7B" w14:textId="24C2EA17" w:rsidR="004D637A" w:rsidRPr="004D637A" w:rsidRDefault="004D637A" w:rsidP="004D637A">
            <w:r w:rsidRPr="004D637A">
              <w:t>Commercial and other non-residential customers (per *ESU per month)</w:t>
            </w:r>
          </w:p>
        </w:tc>
        <w:tc>
          <w:tcPr>
            <w:tcW w:w="4675" w:type="dxa"/>
          </w:tcPr>
          <w:p w14:paraId="74B6D168" w14:textId="06F51A13" w:rsidR="004D637A" w:rsidRPr="004D637A" w:rsidRDefault="004D637A" w:rsidP="004D637A">
            <w:pPr>
              <w:jc w:val="center"/>
            </w:pPr>
            <w:r w:rsidRPr="004D637A">
              <w:t>$15.61</w:t>
            </w:r>
          </w:p>
        </w:tc>
      </w:tr>
    </w:tbl>
    <w:p w14:paraId="0187A5F2" w14:textId="507ABC8A" w:rsidR="004D637A" w:rsidRDefault="00C10A02" w:rsidP="004D637A">
      <w:pPr>
        <w:rPr>
          <w:b/>
          <w:bCs/>
        </w:rPr>
      </w:pPr>
      <w:r>
        <w:rPr>
          <w:b/>
          <w:bCs/>
        </w:rPr>
        <w:t>*ESU = Equivalent Service Unit</w:t>
      </w:r>
    </w:p>
    <w:p w14:paraId="00043B1C" w14:textId="77777777" w:rsidR="00C10A02" w:rsidRDefault="00C10A02" w:rsidP="004D637A">
      <w:pPr>
        <w:rPr>
          <w:b/>
          <w:bCs/>
        </w:rPr>
      </w:pPr>
    </w:p>
    <w:p w14:paraId="446B78FF" w14:textId="69661ECE" w:rsidR="004D637A" w:rsidRPr="00C10A02" w:rsidRDefault="00C10A02">
      <w:pPr>
        <w:rPr>
          <w:b/>
          <w:bCs/>
          <w:color w:val="4472C4" w:themeColor="accent1"/>
          <w:sz w:val="28"/>
          <w:szCs w:val="28"/>
        </w:rPr>
      </w:pPr>
      <w:r w:rsidRPr="00C10A02">
        <w:rPr>
          <w:b/>
          <w:bCs/>
          <w:color w:val="4472C4" w:themeColor="accent1"/>
          <w:sz w:val="28"/>
          <w:szCs w:val="28"/>
        </w:rPr>
        <w:t>Sewer Rates</w:t>
      </w:r>
      <w:r w:rsidRPr="00C10A02">
        <w:rPr>
          <w:b/>
          <w:bCs/>
          <w:color w:val="4472C4" w:themeColor="accent1"/>
          <w:sz w:val="28"/>
          <w:szCs w:val="28"/>
        </w:rPr>
        <w:tab/>
      </w:r>
      <w:r w:rsidRPr="00C10A02">
        <w:rPr>
          <w:b/>
          <w:bCs/>
          <w:color w:val="4472C4" w:themeColor="accent1"/>
          <w:sz w:val="28"/>
          <w:szCs w:val="28"/>
        </w:rPr>
        <w:tab/>
      </w:r>
      <w:r w:rsidRPr="00C10A02">
        <w:rPr>
          <w:b/>
          <w:bCs/>
          <w:color w:val="4472C4" w:themeColor="accent1"/>
          <w:sz w:val="28"/>
          <w:szCs w:val="28"/>
        </w:rPr>
        <w:tab/>
      </w:r>
      <w:r w:rsidRPr="00C10A02">
        <w:rPr>
          <w:b/>
          <w:bCs/>
          <w:color w:val="4472C4" w:themeColor="accent1"/>
          <w:sz w:val="28"/>
          <w:szCs w:val="28"/>
        </w:rPr>
        <w:tab/>
      </w:r>
      <w:r w:rsidRPr="00C10A02">
        <w:rPr>
          <w:b/>
          <w:bCs/>
          <w:color w:val="4472C4" w:themeColor="accent1"/>
          <w:sz w:val="28"/>
          <w:szCs w:val="28"/>
        </w:rPr>
        <w:tab/>
      </w:r>
      <w:r w:rsidRPr="00C10A02">
        <w:rPr>
          <w:b/>
          <w:bCs/>
          <w:color w:val="4472C4" w:themeColor="accent1"/>
          <w:sz w:val="28"/>
          <w:szCs w:val="28"/>
        </w:rPr>
        <w:tab/>
      </w:r>
      <w:r w:rsidRPr="00C10A02">
        <w:rPr>
          <w:b/>
          <w:bCs/>
          <w:color w:val="4472C4" w:themeColor="accent1"/>
          <w:sz w:val="28"/>
          <w:szCs w:val="28"/>
        </w:rPr>
        <w:tab/>
      </w:r>
      <w:r w:rsidRPr="00C10A02">
        <w:rPr>
          <w:b/>
          <w:bCs/>
          <w:color w:val="4472C4" w:themeColor="accent1"/>
          <w:sz w:val="28"/>
          <w:szCs w:val="28"/>
        </w:rPr>
        <w:tab/>
        <w:t>BLMC Chapter 13.12.082</w:t>
      </w:r>
    </w:p>
    <w:p w14:paraId="02B6F5F7" w14:textId="697C69E0" w:rsidR="00C10A02" w:rsidRDefault="00333FA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Sewer Base Rates</w:t>
      </w:r>
    </w:p>
    <w:p w14:paraId="675142BD" w14:textId="1526FF10" w:rsidR="00333FA3" w:rsidRDefault="00333FA3">
      <w:r w:rsidRPr="00333FA3">
        <w:t xml:space="preserve">For single-family residences, sewer availability charges shall be billed </w:t>
      </w:r>
      <w:proofErr w:type="gramStart"/>
      <w:r w:rsidRPr="00333FA3">
        <w:t>monthly</w:t>
      </w:r>
      <w:proofErr w:type="gramEnd"/>
      <w:r w:rsidRPr="00333FA3">
        <w:t xml:space="preserve"> and the sewer treatment volumetric charges shall be billed bi-monthly.  Sewer charges for customers other than single-family residential shall be billed monthly.  </w:t>
      </w:r>
    </w:p>
    <w:p w14:paraId="21C36063" w14:textId="05887C59" w:rsidR="00333FA3" w:rsidRDefault="00333FA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</w:tblGrid>
      <w:tr w:rsidR="00455AE2" w14:paraId="10F67B58" w14:textId="77777777" w:rsidTr="00333FA3">
        <w:tc>
          <w:tcPr>
            <w:tcW w:w="3116" w:type="dxa"/>
          </w:tcPr>
          <w:p w14:paraId="4E0CD45E" w14:textId="6017047F" w:rsidR="00455AE2" w:rsidRDefault="00455AE2">
            <w:r>
              <w:t>Single-family sewer availability Charge-NOT requiring or using a city-owned grinder pump.</w:t>
            </w:r>
          </w:p>
        </w:tc>
        <w:tc>
          <w:tcPr>
            <w:tcW w:w="3117" w:type="dxa"/>
          </w:tcPr>
          <w:p w14:paraId="5D3BE7C6" w14:textId="500E9F21" w:rsidR="00455AE2" w:rsidRDefault="00455AE2">
            <w:r>
              <w:t>$79.09</w:t>
            </w:r>
          </w:p>
        </w:tc>
      </w:tr>
      <w:tr w:rsidR="00455AE2" w14:paraId="7D2612C6" w14:textId="77777777" w:rsidTr="00333FA3">
        <w:tc>
          <w:tcPr>
            <w:tcW w:w="3116" w:type="dxa"/>
          </w:tcPr>
          <w:p w14:paraId="5AE6967D" w14:textId="0F3C5602" w:rsidR="00455AE2" w:rsidRDefault="00455AE2">
            <w:r>
              <w:t>Single-family sewer availability Charge-</w:t>
            </w:r>
            <w:r>
              <w:t>with</w:t>
            </w:r>
            <w:r>
              <w:t xml:space="preserve"> a city-owned grinder pump.</w:t>
            </w:r>
          </w:p>
        </w:tc>
        <w:tc>
          <w:tcPr>
            <w:tcW w:w="3117" w:type="dxa"/>
          </w:tcPr>
          <w:p w14:paraId="5B282A1A" w14:textId="514FD8E0" w:rsidR="00455AE2" w:rsidRDefault="00455AE2">
            <w:r>
              <w:t>$94.90</w:t>
            </w:r>
          </w:p>
        </w:tc>
      </w:tr>
      <w:tr w:rsidR="00455AE2" w14:paraId="28707E9A" w14:textId="77777777" w:rsidTr="00333FA3">
        <w:tc>
          <w:tcPr>
            <w:tcW w:w="3116" w:type="dxa"/>
          </w:tcPr>
          <w:p w14:paraId="7246FEB9" w14:textId="79F1A4CA" w:rsidR="00455AE2" w:rsidRDefault="00455AE2">
            <w:r>
              <w:t>Grinder pump Charge**</w:t>
            </w:r>
          </w:p>
        </w:tc>
        <w:tc>
          <w:tcPr>
            <w:tcW w:w="3117" w:type="dxa"/>
          </w:tcPr>
          <w:p w14:paraId="28A6F778" w14:textId="46001B1D" w:rsidR="00455AE2" w:rsidRDefault="00455AE2">
            <w:r>
              <w:t>$20</w:t>
            </w:r>
          </w:p>
        </w:tc>
      </w:tr>
    </w:tbl>
    <w:p w14:paraId="0312297E" w14:textId="77170C2A" w:rsidR="00333FA3" w:rsidRDefault="00455AE2">
      <w:r>
        <w:t xml:space="preserve">Per BLMC 13.12.082©, qualifying seniors/disabled persons may apply for a 20% discount from the sewer availability charge. For details see </w:t>
      </w:r>
      <w:hyperlink r:id="rId9" w:history="1">
        <w:r w:rsidRPr="00FF0E2A">
          <w:rPr>
            <w:rStyle w:val="Hyperlink"/>
          </w:rPr>
          <w:t>https://bonneylakewa.seamlessdocs.com/f/utildiscapp</w:t>
        </w:r>
      </w:hyperlink>
      <w:r>
        <w:t xml:space="preserve"> or call (253) 447-4317.</w:t>
      </w:r>
    </w:p>
    <w:p w14:paraId="464B7638" w14:textId="395D4F70" w:rsidR="00455AE2" w:rsidRDefault="00455AE2">
      <w:r w:rsidRPr="00455AE2">
        <w:rPr>
          <w:b/>
          <w:bCs/>
        </w:rPr>
        <w:t xml:space="preserve">**Grinder pump Rates:  </w:t>
      </w:r>
      <w:r w:rsidR="007C2FDA">
        <w:t xml:space="preserve">See BLMC 13.12.090.  A separate Sewer Availability charge applied to single family residents using a city-owned grander pump (grinder pump rate).  In addition, for every building using a domestic grinder lift pump utilizing electric power furnished by the </w:t>
      </w:r>
      <w:proofErr w:type="gramStart"/>
      <w:r w:rsidR="007C2FDA">
        <w:t>City</w:t>
      </w:r>
      <w:proofErr w:type="gramEnd"/>
      <w:r w:rsidR="007C2FDA">
        <w:t xml:space="preserve"> or maintained by the City, there will be an additional monthly grinder pump charge to reimburse the City for the cost of the electric power and/or for service on the pumps.  </w:t>
      </w:r>
    </w:p>
    <w:p w14:paraId="3975AE7E" w14:textId="4FB976F5" w:rsidR="007C2FDA" w:rsidRPr="007C2FDA" w:rsidRDefault="007C2FDA">
      <w:pPr>
        <w:rPr>
          <w:b/>
          <w:bCs/>
        </w:rPr>
      </w:pPr>
      <w:r w:rsidRPr="007C2FDA">
        <w:rPr>
          <w:b/>
          <w:bCs/>
        </w:rPr>
        <w:t xml:space="preserve">Notes:  </w:t>
      </w:r>
    </w:p>
    <w:p w14:paraId="0A3D6A2C" w14:textId="7DF89594" w:rsidR="00455AE2" w:rsidRDefault="007C2FDA" w:rsidP="007C2FDA">
      <w:pPr>
        <w:pStyle w:val="ListParagraph"/>
        <w:numPr>
          <w:ilvl w:val="0"/>
          <w:numId w:val="2"/>
        </w:numPr>
      </w:pPr>
      <w:r w:rsidRPr="007C2FDA">
        <w:rPr>
          <w:b/>
          <w:bCs/>
        </w:rPr>
        <w:t>Multi-family and Duplex:</w:t>
      </w:r>
      <w:r>
        <w:t xml:space="preserve">  Customer on a single water meter shall pay the single-family availability charge for each unit.  </w:t>
      </w:r>
    </w:p>
    <w:p w14:paraId="462200FB" w14:textId="72E52757" w:rsidR="007C2FDA" w:rsidRDefault="007C2FDA" w:rsidP="007C2FDA">
      <w:pPr>
        <w:pStyle w:val="ListParagraph"/>
        <w:numPr>
          <w:ilvl w:val="0"/>
          <w:numId w:val="2"/>
        </w:numPr>
      </w:pPr>
      <w:r w:rsidRPr="007C2FDA">
        <w:rPr>
          <w:b/>
          <w:bCs/>
        </w:rPr>
        <w:t xml:space="preserve">Mobile Home Parks:  </w:t>
      </w:r>
      <w:r w:rsidRPr="007C2FDA">
        <w:t>Charged at the single-family rate; when multiple units use one water meter, each unit pays the single-family sewer availability charge.</w:t>
      </w:r>
    </w:p>
    <w:p w14:paraId="4BD92FF3" w14:textId="23C0DF95" w:rsidR="007C2FDA" w:rsidRDefault="007C2FDA" w:rsidP="007C2FDA">
      <w:pPr>
        <w:pStyle w:val="ListParagraph"/>
        <w:numPr>
          <w:ilvl w:val="0"/>
          <w:numId w:val="2"/>
        </w:numPr>
      </w:pPr>
      <w:r w:rsidRPr="007C2FDA">
        <w:rPr>
          <w:b/>
          <w:bCs/>
        </w:rPr>
        <w:t>Non-residential:</w:t>
      </w:r>
      <w:r>
        <w:t xml:space="preserve">  Charged one single-family sewer availability charge per installed water meter.  </w:t>
      </w:r>
    </w:p>
    <w:p w14:paraId="3F257D50" w14:textId="77777777" w:rsidR="007C2FDA" w:rsidRDefault="007C2FDA"/>
    <w:p w14:paraId="2434D2F9" w14:textId="77777777" w:rsidR="007C2FDA" w:rsidRDefault="007C2FDA"/>
    <w:p w14:paraId="0E058BFC" w14:textId="2F79C5F4" w:rsidR="00455AE2" w:rsidRPr="00455AE2" w:rsidRDefault="00455AE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Sewage Treatment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</w:tblGrid>
      <w:tr w:rsidR="00455AE2" w14:paraId="4A8DCCFB" w14:textId="77777777" w:rsidTr="00455AE2">
        <w:tc>
          <w:tcPr>
            <w:tcW w:w="3116" w:type="dxa"/>
          </w:tcPr>
          <w:p w14:paraId="4005E317" w14:textId="47752688" w:rsidR="00455AE2" w:rsidRDefault="00455AE2">
            <w:r>
              <w:t xml:space="preserve">Sewer Treatment Volumetric Charge for all of City-per 100cubic </w:t>
            </w:r>
            <w:proofErr w:type="gramStart"/>
            <w:r>
              <w:t>feet(</w:t>
            </w:r>
            <w:proofErr w:type="gramEnd"/>
            <w:r>
              <w:t>CCF) of water consumption</w:t>
            </w:r>
          </w:p>
        </w:tc>
        <w:tc>
          <w:tcPr>
            <w:tcW w:w="3117" w:type="dxa"/>
          </w:tcPr>
          <w:p w14:paraId="3CE5AEBD" w14:textId="74A2C7C9" w:rsidR="00455AE2" w:rsidRDefault="00455AE2">
            <w:r>
              <w:t>$4.92/CCF</w:t>
            </w:r>
          </w:p>
        </w:tc>
      </w:tr>
    </w:tbl>
    <w:p w14:paraId="1FDFF587" w14:textId="57BEF511" w:rsidR="007C2FDA" w:rsidRDefault="007C2FDA">
      <w:pPr>
        <w:rPr>
          <w:b/>
          <w:bCs/>
        </w:rPr>
      </w:pPr>
      <w:r w:rsidRPr="007C2FDA">
        <w:rPr>
          <w:b/>
          <w:bCs/>
        </w:rPr>
        <w:t>Notes:</w:t>
      </w:r>
    </w:p>
    <w:p w14:paraId="0519A6F0" w14:textId="171BD620" w:rsidR="007C2FDA" w:rsidRDefault="004E1F89" w:rsidP="007C2FDA">
      <w:pPr>
        <w:pStyle w:val="ListParagraph"/>
        <w:numPr>
          <w:ilvl w:val="0"/>
          <w:numId w:val="3"/>
        </w:numPr>
        <w:rPr>
          <w:b/>
          <w:bCs/>
        </w:rPr>
      </w:pPr>
      <w:r>
        <w:rPr>
          <w:b/>
          <w:bCs/>
        </w:rPr>
        <w:t xml:space="preserve">Single-family residential:  </w:t>
      </w:r>
      <w:r w:rsidRPr="004E1F89">
        <w:t>Volumetric capped at 10ccf</w:t>
      </w:r>
    </w:p>
    <w:p w14:paraId="662D13F5" w14:textId="7193897C" w:rsidR="004E1F89" w:rsidRDefault="004E1F89" w:rsidP="007C2FDA">
      <w:pPr>
        <w:pStyle w:val="ListParagraph"/>
        <w:numPr>
          <w:ilvl w:val="0"/>
          <w:numId w:val="3"/>
        </w:numPr>
        <w:rPr>
          <w:b/>
          <w:bCs/>
        </w:rPr>
      </w:pPr>
      <w:r>
        <w:rPr>
          <w:b/>
          <w:bCs/>
        </w:rPr>
        <w:t xml:space="preserve">Multifamily and duplex:  </w:t>
      </w:r>
      <w:r w:rsidRPr="004E1F89">
        <w:t xml:space="preserve">Volumetric capped at 8 </w:t>
      </w:r>
      <w:proofErr w:type="spellStart"/>
      <w:r w:rsidRPr="004E1F89">
        <w:t>ccf</w:t>
      </w:r>
      <w:proofErr w:type="spellEnd"/>
    </w:p>
    <w:p w14:paraId="76A107E5" w14:textId="12FA0681" w:rsidR="004E1F89" w:rsidRPr="004E1F89" w:rsidRDefault="004E1F89" w:rsidP="007C2FDA">
      <w:pPr>
        <w:pStyle w:val="ListParagraph"/>
        <w:numPr>
          <w:ilvl w:val="0"/>
          <w:numId w:val="3"/>
        </w:numPr>
      </w:pPr>
      <w:r>
        <w:rPr>
          <w:b/>
          <w:bCs/>
        </w:rPr>
        <w:t xml:space="preserve">Mobile home park:  </w:t>
      </w:r>
      <w:r w:rsidRPr="004E1F89">
        <w:t>Volumetric capped at 10ccf</w:t>
      </w:r>
    </w:p>
    <w:p w14:paraId="0DF4A8CA" w14:textId="6B8F685D" w:rsidR="004E1F89" w:rsidRPr="004E1F89" w:rsidRDefault="004E1F89" w:rsidP="004E1F89">
      <w:pPr>
        <w:pStyle w:val="ListParagraph"/>
        <w:numPr>
          <w:ilvl w:val="0"/>
          <w:numId w:val="3"/>
        </w:numPr>
        <w:rPr>
          <w:b/>
          <w:bCs/>
        </w:rPr>
      </w:pPr>
      <w:r>
        <w:rPr>
          <w:b/>
          <w:bCs/>
        </w:rPr>
        <w:t xml:space="preserve">Non-Residential:  </w:t>
      </w:r>
      <w:r w:rsidRPr="004E1F89">
        <w:t>No cap for volumetric</w:t>
      </w:r>
      <w:r>
        <w:rPr>
          <w:b/>
          <w:bCs/>
        </w:rPr>
        <w:t xml:space="preserve"> </w:t>
      </w:r>
    </w:p>
    <w:p w14:paraId="63931662" w14:textId="77777777" w:rsidR="007C2FDA" w:rsidRDefault="007C2FDA">
      <w:pPr>
        <w:rPr>
          <w:b/>
          <w:bCs/>
        </w:rPr>
      </w:pPr>
    </w:p>
    <w:p w14:paraId="5C01D73F" w14:textId="0EA0FCA0" w:rsidR="004E1F89" w:rsidRPr="004E1F89" w:rsidRDefault="004E1F89">
      <w:pPr>
        <w:rPr>
          <w:b/>
          <w:bCs/>
          <w:sz w:val="28"/>
          <w:szCs w:val="28"/>
        </w:rPr>
      </w:pPr>
      <w:r w:rsidRPr="004E1F89">
        <w:rPr>
          <w:b/>
          <w:bCs/>
          <w:sz w:val="28"/>
          <w:szCs w:val="28"/>
        </w:rPr>
        <w:t>Sewer Rate Adjustments</w:t>
      </w:r>
    </w:p>
    <w:p w14:paraId="25B430A8" w14:textId="2E22622F" w:rsidR="004E1F89" w:rsidRPr="004E1F89" w:rsidRDefault="004E1F89">
      <w:pPr>
        <w:rPr>
          <w:b/>
          <w:bCs/>
          <w:color w:val="4472C4" w:themeColor="accent1"/>
          <w:sz w:val="28"/>
          <w:szCs w:val="28"/>
        </w:rPr>
      </w:pPr>
      <w:r w:rsidRPr="004E1F89">
        <w:rPr>
          <w:b/>
          <w:bCs/>
          <w:color w:val="4472C4" w:themeColor="accent1"/>
          <w:sz w:val="28"/>
          <w:szCs w:val="28"/>
        </w:rPr>
        <w:t>See BLMC 13.12.085</w:t>
      </w:r>
    </w:p>
    <w:p w14:paraId="1DD171BC" w14:textId="77777777" w:rsidR="004E1F89" w:rsidRPr="007C2FDA" w:rsidRDefault="004E1F89">
      <w:pPr>
        <w:rPr>
          <w:b/>
          <w:bCs/>
        </w:rPr>
      </w:pPr>
    </w:p>
    <w:sectPr w:rsidR="004E1F89" w:rsidRPr="007C2FDA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41E5D8" w14:textId="77777777" w:rsidR="009B2BBF" w:rsidRDefault="009B2BBF" w:rsidP="009B2BBF">
      <w:pPr>
        <w:spacing w:after="0"/>
      </w:pPr>
      <w:r>
        <w:separator/>
      </w:r>
    </w:p>
  </w:endnote>
  <w:endnote w:type="continuationSeparator" w:id="0">
    <w:p w14:paraId="4493449D" w14:textId="77777777" w:rsidR="009B2BBF" w:rsidRDefault="009B2BBF" w:rsidP="009B2BB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B245E7" w14:textId="77777777" w:rsidR="009B2BBF" w:rsidRDefault="009B2BBF" w:rsidP="009B2BBF">
      <w:pPr>
        <w:spacing w:after="0"/>
      </w:pPr>
      <w:r>
        <w:separator/>
      </w:r>
    </w:p>
  </w:footnote>
  <w:footnote w:type="continuationSeparator" w:id="0">
    <w:p w14:paraId="394F63C4" w14:textId="77777777" w:rsidR="009B2BBF" w:rsidRDefault="009B2BBF" w:rsidP="009B2BB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A78A0" w14:textId="77777777" w:rsidR="009B2BBF" w:rsidRDefault="009B2BBF" w:rsidP="009B2BBF">
    <w:pPr>
      <w:pStyle w:val="Default"/>
      <w:ind w:right="-720"/>
      <w:rPr>
        <w:b/>
        <w:bCs/>
        <w:sz w:val="23"/>
        <w:szCs w:val="23"/>
      </w:rPr>
    </w:pPr>
    <w:r w:rsidRPr="009602CF">
      <w:rPr>
        <w:noProof/>
      </w:rPr>
      <w:drawing>
        <wp:inline distT="0" distB="0" distL="0" distR="0" wp14:anchorId="3077B38F" wp14:editId="7B3031CA">
          <wp:extent cx="2162175" cy="58102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bCs/>
        <w:sz w:val="28"/>
        <w:szCs w:val="28"/>
      </w:rPr>
      <w:t xml:space="preserve">City of Bonney Lake Utility Rates </w:t>
    </w:r>
    <w:r>
      <w:rPr>
        <w:b/>
        <w:bCs/>
        <w:sz w:val="23"/>
        <w:szCs w:val="23"/>
      </w:rPr>
      <w:t>Effective July 1,2023</w:t>
    </w:r>
  </w:p>
  <w:p w14:paraId="10629195" w14:textId="77777777" w:rsidR="009B2BBF" w:rsidRDefault="009B2BBF" w:rsidP="009B2BBF">
    <w:pPr>
      <w:pStyle w:val="Default"/>
      <w:ind w:left="2880" w:firstLine="720"/>
      <w:rPr>
        <w:sz w:val="22"/>
        <w:szCs w:val="22"/>
      </w:rPr>
    </w:pPr>
    <w:r>
      <w:rPr>
        <w:b/>
        <w:bCs/>
        <w:sz w:val="23"/>
        <w:szCs w:val="23"/>
      </w:rPr>
      <w:t xml:space="preserve"> </w:t>
    </w:r>
    <w:r>
      <w:rPr>
        <w:color w:val="4040FF"/>
        <w:sz w:val="22"/>
        <w:szCs w:val="22"/>
      </w:rPr>
      <w:t xml:space="preserve">www.cobl.us/utility_billing </w:t>
    </w:r>
  </w:p>
  <w:p w14:paraId="4CDF6A7B" w14:textId="77777777" w:rsidR="009B2BBF" w:rsidRDefault="009B2BB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665D5E"/>
    <w:multiLevelType w:val="hybridMultilevel"/>
    <w:tmpl w:val="FC8A0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F30077"/>
    <w:multiLevelType w:val="hybridMultilevel"/>
    <w:tmpl w:val="F6666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96290A"/>
    <w:multiLevelType w:val="hybridMultilevel"/>
    <w:tmpl w:val="4FC6F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9765560">
    <w:abstractNumId w:val="2"/>
  </w:num>
  <w:num w:numId="2" w16cid:durableId="2095318313">
    <w:abstractNumId w:val="0"/>
  </w:num>
  <w:num w:numId="3" w16cid:durableId="7569465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2CF"/>
    <w:rsid w:val="00333FA3"/>
    <w:rsid w:val="00455AE2"/>
    <w:rsid w:val="004D637A"/>
    <w:rsid w:val="004E1F89"/>
    <w:rsid w:val="005401F5"/>
    <w:rsid w:val="00551CC0"/>
    <w:rsid w:val="007C2FDA"/>
    <w:rsid w:val="008E1F34"/>
    <w:rsid w:val="008E26E0"/>
    <w:rsid w:val="009602CF"/>
    <w:rsid w:val="009B2BBF"/>
    <w:rsid w:val="00C10A02"/>
    <w:rsid w:val="00C91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ECA149"/>
  <w15:chartTrackingRefBased/>
  <w15:docId w15:val="{261A46BC-0473-4545-A88E-8CD1E858E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602CF"/>
    <w:pPr>
      <w:autoSpaceDE w:val="0"/>
      <w:autoSpaceDN w:val="0"/>
      <w:adjustRightInd w:val="0"/>
      <w:spacing w:after="0"/>
    </w:pPr>
    <w:rPr>
      <w:rFonts w:ascii="Times New Roman" w:hAnsi="Times New Roman" w:cs="Times New Roman"/>
      <w:color w:val="000000"/>
      <w:kern w:val="0"/>
      <w:sz w:val="24"/>
      <w:szCs w:val="24"/>
    </w:rPr>
  </w:style>
  <w:style w:type="table" w:styleId="TableGrid">
    <w:name w:val="Table Grid"/>
    <w:basedOn w:val="TableNormal"/>
    <w:uiPriority w:val="39"/>
    <w:rsid w:val="009602CF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401F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401F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B2BBF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B2BBF"/>
  </w:style>
  <w:style w:type="paragraph" w:styleId="Footer">
    <w:name w:val="footer"/>
    <w:basedOn w:val="Normal"/>
    <w:link w:val="FooterChar"/>
    <w:uiPriority w:val="99"/>
    <w:unhideWhenUsed/>
    <w:rsid w:val="009B2BBF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B2BBF"/>
  </w:style>
  <w:style w:type="paragraph" w:styleId="IntenseQuote">
    <w:name w:val="Intense Quote"/>
    <w:basedOn w:val="Normal"/>
    <w:next w:val="Normal"/>
    <w:link w:val="IntenseQuoteChar"/>
    <w:uiPriority w:val="30"/>
    <w:qFormat/>
    <w:rsid w:val="004D637A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D637A"/>
    <w:rPr>
      <w:i/>
      <w:iCs/>
      <w:color w:val="4472C4" w:themeColor="accent1"/>
    </w:rPr>
  </w:style>
  <w:style w:type="paragraph" w:styleId="ListParagraph">
    <w:name w:val="List Paragraph"/>
    <w:basedOn w:val="Normal"/>
    <w:uiPriority w:val="34"/>
    <w:qFormat/>
    <w:rsid w:val="007C2F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onneylakewa.seamlessdocs.com/f/utilleakadj%20or%20call%20(25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onneylakewa.seamlessdocs.com/f/utildiscap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bonneylakewa.seamlessdocs.com/f/utildiscap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4</Pages>
  <Words>917</Words>
  <Characters>5233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Bonney Lake</Company>
  <LinksUpToDate>false</LinksUpToDate>
  <CharactersWithSpaces>6138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Tonellato</dc:creator>
  <cp:keywords/>
  <dc:description/>
  <cp:lastModifiedBy>Stephanie Tonellato</cp:lastModifiedBy>
  <cp:revision>3</cp:revision>
  <dcterms:created xsi:type="dcterms:W3CDTF">2023-08-03T16:54:00Z</dcterms:created>
  <dcterms:modified xsi:type="dcterms:W3CDTF">2023-08-03T18:44:00Z</dcterms:modified>
</cp:coreProperties>
</file>